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78" w:rsidRDefault="00095678" w:rsidP="00095678">
      <w:pPr>
        <w:pStyle w:val="Heading3"/>
      </w:pPr>
      <w:bookmarkStart w:id="0" w:name="_Toc322832502"/>
      <w:bookmarkStart w:id="1" w:name="_Toc323101083"/>
      <w:bookmarkStart w:id="2" w:name="_Toc355165246"/>
      <w:bookmarkStart w:id="3" w:name="_Toc384130272"/>
      <w:r>
        <w:t xml:space="preserve">Exploitatierekening </w:t>
      </w:r>
      <w:bookmarkEnd w:id="0"/>
      <w:bookmarkEnd w:id="1"/>
      <w:bookmarkEnd w:id="2"/>
      <w:bookmarkEnd w:id="3"/>
      <w:r w:rsidR="005C7CC8">
        <w:t>201</w:t>
      </w:r>
      <w:r w:rsidR="00CD2F2E">
        <w:t>8</w:t>
      </w:r>
    </w:p>
    <w:tbl>
      <w:tblPr>
        <w:tblW w:w="132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7"/>
        <w:gridCol w:w="1417"/>
        <w:gridCol w:w="1417"/>
        <w:gridCol w:w="1241"/>
        <w:gridCol w:w="1241"/>
      </w:tblGrid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CD2F2E" w:rsidP="003E0A60">
            <w:pPr>
              <w:pStyle w:val="StandardText"/>
              <w:jc w:val="right"/>
            </w:pPr>
            <w:r>
              <w:t>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A60" w:rsidRPr="003E0A60" w:rsidRDefault="00CD2F2E" w:rsidP="003E0A60">
            <w:pPr>
              <w:pStyle w:val="StandardText"/>
              <w:jc w:val="right"/>
            </w:pPr>
            <w:r>
              <w:t>2017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E0A60" w:rsidRPr="003E0A60" w:rsidRDefault="00CD2F2E" w:rsidP="003E0A60">
            <w:pPr>
              <w:pStyle w:val="StandardText"/>
              <w:jc w:val="right"/>
            </w:pPr>
            <w:r>
              <w:t>2016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E0A60" w:rsidRPr="003E0A60" w:rsidRDefault="00CD2F2E" w:rsidP="003E0A60">
            <w:pPr>
              <w:pStyle w:val="StandardText"/>
              <w:jc w:val="right"/>
            </w:pPr>
            <w:r>
              <w:t>2015</w:t>
            </w: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3E0A60" w:rsidRPr="003E0A60" w:rsidRDefault="00CD2F2E" w:rsidP="003E0A60">
            <w:pPr>
              <w:pStyle w:val="StandardText"/>
              <w:jc w:val="right"/>
            </w:pPr>
            <w:r>
              <w:t>2014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  <w:r w:rsidRPr="003E0A60">
              <w:t>€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Bold12Table"/>
            </w:pPr>
            <w:r w:rsidRPr="003E0A60">
              <w:t>Baten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Pachten boerderijen en land</w:t>
            </w:r>
          </w:p>
        </w:tc>
        <w:tc>
          <w:tcPr>
            <w:tcW w:w="1417" w:type="dxa"/>
          </w:tcPr>
          <w:p w:rsidR="00CD2F2E" w:rsidRPr="003E0A60" w:rsidRDefault="003F6542" w:rsidP="00CD2F2E">
            <w:pPr>
              <w:pStyle w:val="StandardText"/>
              <w:jc w:val="right"/>
            </w:pPr>
            <w:r>
              <w:t>182.304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188.509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147.924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139.516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148.003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Opbrengst beleggingen</w:t>
            </w:r>
          </w:p>
        </w:tc>
        <w:tc>
          <w:tcPr>
            <w:tcW w:w="1417" w:type="dxa"/>
          </w:tcPr>
          <w:p w:rsidR="00CD2F2E" w:rsidRPr="003E0A60" w:rsidRDefault="003F6542" w:rsidP="00CD2F2E">
            <w:pPr>
              <w:pStyle w:val="StandardText"/>
              <w:jc w:val="right"/>
            </w:pPr>
            <w:r>
              <w:t>226.728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241.766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234.437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229.916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203.731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Rente banken</w:t>
            </w:r>
          </w:p>
        </w:tc>
        <w:tc>
          <w:tcPr>
            <w:tcW w:w="1417" w:type="dxa"/>
          </w:tcPr>
          <w:p w:rsidR="00CD2F2E" w:rsidRPr="003E0A60" w:rsidRDefault="003F6542" w:rsidP="00CD2F2E">
            <w:pPr>
              <w:pStyle w:val="StandardText"/>
              <w:jc w:val="right"/>
            </w:pPr>
            <w:r>
              <w:t>269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3.989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10.109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16.455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21.300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bookmarkStart w:id="4" w:name="_GoBack"/>
            <w:bookmarkEnd w:id="4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409.301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434.264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392.470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385.887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373.034</w:t>
            </w: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Bold12Table"/>
            </w:pPr>
            <w:r w:rsidRPr="003E0A60">
              <w:t>Lasten</w:t>
            </w: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3E0A60" w:rsidRPr="003E0A60" w:rsidTr="003E0A60">
        <w:trPr>
          <w:cantSplit/>
        </w:trPr>
        <w:tc>
          <w:tcPr>
            <w:tcW w:w="6549" w:type="dxa"/>
          </w:tcPr>
          <w:p w:rsidR="003E0A60" w:rsidRPr="003E0A60" w:rsidRDefault="003E0A60" w:rsidP="003E0A60">
            <w:pPr>
              <w:pStyle w:val="StandardTex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417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3E0A60" w:rsidRPr="003E0A60" w:rsidRDefault="003E0A60" w:rsidP="003E0A60">
            <w:pPr>
              <w:pStyle w:val="StandardText"/>
              <w:jc w:val="right"/>
            </w:pP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Kosten verpacht onroerend goed</w:t>
            </w:r>
          </w:p>
        </w:tc>
        <w:tc>
          <w:tcPr>
            <w:tcW w:w="1417" w:type="dxa"/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18.735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30.597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25.444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12.529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16.102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Honorarium rentmeester</w:t>
            </w:r>
          </w:p>
        </w:tc>
        <w:tc>
          <w:tcPr>
            <w:tcW w:w="1417" w:type="dxa"/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11.660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11.902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9.553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9.019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9.515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Kosten beleggingen</w:t>
            </w:r>
          </w:p>
        </w:tc>
        <w:tc>
          <w:tcPr>
            <w:tcW w:w="1417" w:type="dxa"/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3.471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3.557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9.658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2.319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3.912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Bestuurskosten</w:t>
            </w:r>
          </w:p>
        </w:tc>
        <w:tc>
          <w:tcPr>
            <w:tcW w:w="1417" w:type="dxa"/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21.932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22.881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21.267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20.014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19.428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Accountants- en advieskosten</w:t>
            </w:r>
          </w:p>
        </w:tc>
        <w:tc>
          <w:tcPr>
            <w:tcW w:w="1417" w:type="dxa"/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8.712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8.470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12.275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7.874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7.865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Overige algemene kosten</w:t>
            </w:r>
          </w:p>
        </w:tc>
        <w:tc>
          <w:tcPr>
            <w:tcW w:w="1417" w:type="dxa"/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209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304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803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1.407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1.595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 xml:space="preserve">Legaat </w:t>
            </w:r>
            <w:proofErr w:type="spellStart"/>
            <w:r w:rsidRPr="003E0A60">
              <w:t>Sionsberg</w:t>
            </w:r>
            <w:proofErr w:type="spellEnd"/>
          </w:p>
        </w:tc>
        <w:tc>
          <w:tcPr>
            <w:tcW w:w="1417" w:type="dxa"/>
          </w:tcPr>
          <w:p w:rsidR="00CD2F2E" w:rsidRPr="003E0A60" w:rsidRDefault="00FC1CCC" w:rsidP="003F6542">
            <w:pPr>
              <w:pStyle w:val="StandardText"/>
              <w:ind w:right="-16"/>
              <w:jc w:val="right"/>
            </w:pPr>
            <w:r>
              <w:t>(1.816)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1417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908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908</w:t>
            </w:r>
          </w:p>
        </w:tc>
        <w:tc>
          <w:tcPr>
            <w:tcW w:w="1241" w:type="dxa"/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908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  <w:r w:rsidRPr="003E0A60">
              <w:t>Storting vermogen t.l.v. rente en dividenden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42.144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46.173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47.085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48.027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44.965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105.047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124.792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126.993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102.097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104.290</w:t>
            </w: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StandardTex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</w:p>
        </w:tc>
      </w:tr>
      <w:tr w:rsidR="00CD2F2E" w:rsidRPr="003E0A60" w:rsidTr="003E0A60">
        <w:trPr>
          <w:cantSplit/>
        </w:trPr>
        <w:tc>
          <w:tcPr>
            <w:tcW w:w="6549" w:type="dxa"/>
          </w:tcPr>
          <w:p w:rsidR="00CD2F2E" w:rsidRPr="003E0A60" w:rsidRDefault="00CD2F2E" w:rsidP="00CD2F2E">
            <w:pPr>
              <w:pStyle w:val="Bold12Table"/>
            </w:pPr>
            <w:r w:rsidRPr="003E0A60">
              <w:t>Voordelig saldo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FC1CCC" w:rsidP="00CD2F2E">
            <w:pPr>
              <w:pStyle w:val="StandardText"/>
              <w:jc w:val="right"/>
            </w:pPr>
            <w:r>
              <w:t>304.254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>
              <w:t>309.472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265.477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283.791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D2F2E" w:rsidRPr="003E0A60" w:rsidRDefault="00CD2F2E" w:rsidP="00CD2F2E">
            <w:pPr>
              <w:pStyle w:val="StandardText"/>
              <w:jc w:val="right"/>
            </w:pPr>
            <w:r w:rsidRPr="003E0A60">
              <w:t>268.744</w:t>
            </w:r>
          </w:p>
        </w:tc>
      </w:tr>
    </w:tbl>
    <w:p w:rsidR="00E0482A" w:rsidRPr="003E0A60" w:rsidRDefault="00E0482A" w:rsidP="00095678">
      <w:pPr>
        <w:rPr>
          <w:i/>
        </w:rPr>
      </w:pPr>
    </w:p>
    <w:p w:rsidR="005C7CC8" w:rsidRPr="00095678" w:rsidRDefault="005C7CC8" w:rsidP="00095678"/>
    <w:sectPr w:rsidR="005C7CC8" w:rsidRPr="00095678" w:rsidSect="003F01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79"/>
    <w:rsid w:val="00024AA6"/>
    <w:rsid w:val="00095678"/>
    <w:rsid w:val="000B37D6"/>
    <w:rsid w:val="00142A8E"/>
    <w:rsid w:val="00186F7C"/>
    <w:rsid w:val="00277EB1"/>
    <w:rsid w:val="003B71EB"/>
    <w:rsid w:val="003E0A60"/>
    <w:rsid w:val="003F0109"/>
    <w:rsid w:val="003F6542"/>
    <w:rsid w:val="00420FCA"/>
    <w:rsid w:val="004435E7"/>
    <w:rsid w:val="00473E40"/>
    <w:rsid w:val="004B51C2"/>
    <w:rsid w:val="005C7CC8"/>
    <w:rsid w:val="005F76C5"/>
    <w:rsid w:val="00C324A2"/>
    <w:rsid w:val="00C8618A"/>
    <w:rsid w:val="00CD2F2E"/>
    <w:rsid w:val="00D24E61"/>
    <w:rsid w:val="00E0482A"/>
    <w:rsid w:val="00E67C6A"/>
    <w:rsid w:val="00EB15D6"/>
    <w:rsid w:val="00EC0579"/>
    <w:rsid w:val="00F36D74"/>
    <w:rsid w:val="00FC1CCC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19BD4"/>
  <w15:docId w15:val="{466E2B59-D6CD-4DBB-AADC-877EF53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Jaenet de Jong (Open)</dc:creator>
  <cp:lastModifiedBy>Zijlstra, Antsje (NL - Leeuwarden)</cp:lastModifiedBy>
  <cp:revision>4</cp:revision>
  <dcterms:created xsi:type="dcterms:W3CDTF">2019-06-07T06:43:00Z</dcterms:created>
  <dcterms:modified xsi:type="dcterms:W3CDTF">2019-06-07T06:46:00Z</dcterms:modified>
</cp:coreProperties>
</file>