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E3" w:rsidRPr="008C569E" w:rsidRDefault="008C569E">
      <w:pPr>
        <w:rPr>
          <w:rFonts w:ascii="Arial" w:hAnsi="Arial" w:cs="Arial"/>
          <w:b/>
          <w:sz w:val="28"/>
          <w:szCs w:val="28"/>
          <w:u w:val="single"/>
        </w:rPr>
      </w:pPr>
      <w:r w:rsidRPr="008C569E">
        <w:rPr>
          <w:rFonts w:ascii="Arial" w:hAnsi="Arial" w:cs="Arial"/>
          <w:b/>
          <w:sz w:val="28"/>
          <w:szCs w:val="28"/>
          <w:u w:val="single"/>
        </w:rPr>
        <w:t>Financiële positie Stichting Vrienden van de Schans 2016</w:t>
      </w:r>
    </w:p>
    <w:p w:rsidR="008C569E" w:rsidRPr="008C569E" w:rsidRDefault="008C569E">
      <w:pPr>
        <w:rPr>
          <w:rFonts w:ascii="Arial" w:hAnsi="Arial" w:cs="Arial"/>
          <w:sz w:val="24"/>
          <w:szCs w:val="24"/>
        </w:rPr>
      </w:pPr>
      <w:r w:rsidRPr="008C569E">
        <w:rPr>
          <w:rFonts w:ascii="Arial" w:hAnsi="Arial" w:cs="Arial"/>
          <w:sz w:val="24"/>
          <w:szCs w:val="24"/>
        </w:rPr>
        <w:t>De financiële positie van o</w:t>
      </w:r>
      <w:r w:rsidR="00A454D3">
        <w:rPr>
          <w:rFonts w:ascii="Arial" w:hAnsi="Arial" w:cs="Arial"/>
          <w:sz w:val="24"/>
          <w:szCs w:val="24"/>
        </w:rPr>
        <w:t xml:space="preserve">nze Stichting is beoordeeld en goed bevonden door </w:t>
      </w:r>
      <w:r w:rsidRPr="008C569E">
        <w:rPr>
          <w:rFonts w:ascii="Arial" w:hAnsi="Arial" w:cs="Arial"/>
          <w:sz w:val="24"/>
          <w:szCs w:val="24"/>
        </w:rPr>
        <w:t>Nijsingh Advies, Berkenlaan 8, 7875 BL Exloo. Tel Nijsingh Advies: 0591-549514. Email: info@nijsingh.nl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843"/>
      </w:tblGrid>
      <w:tr w:rsidR="007B2339" w:rsidTr="008C569E">
        <w:tc>
          <w:tcPr>
            <w:tcW w:w="3369" w:type="dxa"/>
          </w:tcPr>
          <w:p w:rsidR="007B2339" w:rsidRDefault="007B2339"/>
        </w:tc>
        <w:tc>
          <w:tcPr>
            <w:tcW w:w="1842" w:type="dxa"/>
          </w:tcPr>
          <w:p w:rsidR="007B2339" w:rsidRPr="00EA7D53" w:rsidRDefault="007B2339">
            <w:pPr>
              <w:rPr>
                <w:rFonts w:ascii="Arial" w:hAnsi="Arial" w:cs="Arial"/>
                <w:b/>
              </w:rPr>
            </w:pPr>
            <w:r w:rsidRPr="00EA7D53">
              <w:rPr>
                <w:rFonts w:ascii="Arial" w:hAnsi="Arial" w:cs="Arial"/>
                <w:b/>
              </w:rPr>
              <w:t>31-12-2015</w:t>
            </w:r>
          </w:p>
        </w:tc>
        <w:tc>
          <w:tcPr>
            <w:tcW w:w="1843" w:type="dxa"/>
          </w:tcPr>
          <w:p w:rsidR="007B2339" w:rsidRPr="00EA7D53" w:rsidRDefault="007B2339">
            <w:pPr>
              <w:rPr>
                <w:rFonts w:ascii="Arial" w:hAnsi="Arial" w:cs="Arial"/>
                <w:b/>
              </w:rPr>
            </w:pPr>
            <w:r w:rsidRPr="00EA7D53">
              <w:rPr>
                <w:rFonts w:ascii="Arial" w:hAnsi="Arial" w:cs="Arial"/>
                <w:b/>
              </w:rPr>
              <w:t>31-12-2016</w:t>
            </w:r>
          </w:p>
        </w:tc>
      </w:tr>
      <w:tr w:rsidR="007D7FE3" w:rsidTr="008C569E">
        <w:tc>
          <w:tcPr>
            <w:tcW w:w="3369" w:type="dxa"/>
          </w:tcPr>
          <w:p w:rsidR="007D7FE3" w:rsidRPr="00EA7D53" w:rsidRDefault="007D7FE3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Vaste activa</w:t>
            </w:r>
          </w:p>
        </w:tc>
        <w:tc>
          <w:tcPr>
            <w:tcW w:w="1842" w:type="dxa"/>
          </w:tcPr>
          <w:p w:rsidR="007D7FE3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EA7D53" w:rsidRPr="00EA7D53">
              <w:rPr>
                <w:rFonts w:ascii="Arial" w:hAnsi="Arial" w:cs="Arial"/>
              </w:rPr>
              <w:t>500,00</w:t>
            </w:r>
          </w:p>
        </w:tc>
        <w:tc>
          <w:tcPr>
            <w:tcW w:w="1843" w:type="dxa"/>
          </w:tcPr>
          <w:p w:rsidR="007D7FE3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861E2">
              <w:rPr>
                <w:rFonts w:ascii="Arial" w:hAnsi="Arial" w:cs="Arial"/>
              </w:rPr>
              <w:t xml:space="preserve"> </w:t>
            </w:r>
            <w:r w:rsidR="00EA7D53">
              <w:rPr>
                <w:rFonts w:ascii="Arial" w:hAnsi="Arial" w:cs="Arial"/>
              </w:rPr>
              <w:t>0,00</w:t>
            </w:r>
          </w:p>
        </w:tc>
      </w:tr>
      <w:tr w:rsidR="007D7FE3" w:rsidTr="008C569E">
        <w:tc>
          <w:tcPr>
            <w:tcW w:w="3369" w:type="dxa"/>
          </w:tcPr>
          <w:p w:rsidR="007D7FE3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Vorderingen</w:t>
            </w:r>
          </w:p>
        </w:tc>
        <w:tc>
          <w:tcPr>
            <w:tcW w:w="1842" w:type="dxa"/>
          </w:tcPr>
          <w:p w:rsidR="007D7FE3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A7D53" w:rsidRPr="00EA7D53">
              <w:rPr>
                <w:rFonts w:ascii="Arial" w:hAnsi="Arial" w:cs="Arial"/>
              </w:rPr>
              <w:t>3</w:t>
            </w:r>
            <w:r w:rsidR="00EA7D53">
              <w:rPr>
                <w:rFonts w:ascii="Arial" w:hAnsi="Arial" w:cs="Arial"/>
              </w:rPr>
              <w:t>.</w:t>
            </w:r>
            <w:r w:rsidR="00EA7D53" w:rsidRPr="00EA7D53">
              <w:rPr>
                <w:rFonts w:ascii="Arial" w:hAnsi="Arial" w:cs="Arial"/>
              </w:rPr>
              <w:t>598,00</w:t>
            </w:r>
          </w:p>
        </w:tc>
        <w:tc>
          <w:tcPr>
            <w:tcW w:w="1843" w:type="dxa"/>
          </w:tcPr>
          <w:p w:rsidR="007D7FE3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861E2">
              <w:rPr>
                <w:rFonts w:ascii="Arial" w:hAnsi="Arial" w:cs="Arial"/>
              </w:rPr>
              <w:t xml:space="preserve"> </w:t>
            </w:r>
            <w:r w:rsidR="00EA7D53">
              <w:rPr>
                <w:rFonts w:ascii="Arial" w:hAnsi="Arial" w:cs="Arial"/>
              </w:rPr>
              <w:t>1.709,00</w:t>
            </w:r>
          </w:p>
        </w:tc>
      </w:tr>
      <w:tr w:rsidR="007D7FE3" w:rsidTr="008C569E">
        <w:tc>
          <w:tcPr>
            <w:tcW w:w="3369" w:type="dxa"/>
          </w:tcPr>
          <w:p w:rsidR="007D7FE3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Liquide middelen</w:t>
            </w:r>
          </w:p>
        </w:tc>
        <w:tc>
          <w:tcPr>
            <w:tcW w:w="1842" w:type="dxa"/>
          </w:tcPr>
          <w:p w:rsidR="007D7FE3" w:rsidRPr="00EA7D53" w:rsidRDefault="00EA7D53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340</w:t>
            </w:r>
            <w:r>
              <w:rPr>
                <w:rFonts w:ascii="Arial" w:hAnsi="Arial" w:cs="Arial"/>
              </w:rPr>
              <w:t>.</w:t>
            </w:r>
            <w:r w:rsidRPr="00EA7D53">
              <w:rPr>
                <w:rFonts w:ascii="Arial" w:hAnsi="Arial" w:cs="Arial"/>
              </w:rPr>
              <w:t>516,00</w:t>
            </w:r>
          </w:p>
        </w:tc>
        <w:tc>
          <w:tcPr>
            <w:tcW w:w="1843" w:type="dxa"/>
          </w:tcPr>
          <w:p w:rsidR="007D7FE3" w:rsidRPr="00EA7D53" w:rsidRDefault="00EA7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335.704,00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C569E" w:rsidRPr="00EA7D53" w:rsidRDefault="00EA7D53">
            <w:pPr>
              <w:rPr>
                <w:rFonts w:ascii="Arial" w:hAnsi="Arial" w:cs="Arial"/>
                <w:b/>
              </w:rPr>
            </w:pPr>
            <w:r w:rsidRPr="00EA7D53">
              <w:rPr>
                <w:rFonts w:ascii="Arial" w:hAnsi="Arial" w:cs="Arial"/>
                <w:b/>
              </w:rPr>
              <w:t>344</w:t>
            </w:r>
            <w:r>
              <w:rPr>
                <w:rFonts w:ascii="Arial" w:hAnsi="Arial" w:cs="Arial"/>
                <w:b/>
              </w:rPr>
              <w:t>.</w:t>
            </w:r>
            <w:r w:rsidRPr="00EA7D53">
              <w:rPr>
                <w:rFonts w:ascii="Arial" w:hAnsi="Arial" w:cs="Arial"/>
                <w:b/>
              </w:rPr>
              <w:t>614,00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  <w:b/>
              </w:rPr>
            </w:pPr>
            <w:r w:rsidRPr="002E63FA">
              <w:rPr>
                <w:rFonts w:ascii="Arial" w:hAnsi="Arial" w:cs="Arial"/>
                <w:b/>
              </w:rPr>
              <w:t>337.413</w:t>
            </w:r>
            <w:r>
              <w:rPr>
                <w:rFonts w:ascii="Arial" w:hAnsi="Arial" w:cs="Arial"/>
                <w:b/>
              </w:rPr>
              <w:t>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Eigen vermogen</w:t>
            </w:r>
          </w:p>
        </w:tc>
        <w:tc>
          <w:tcPr>
            <w:tcW w:w="1842" w:type="dxa"/>
          </w:tcPr>
          <w:p w:rsidR="008C569E" w:rsidRPr="00EA7D53" w:rsidRDefault="00EA7D53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292.036,00</w:t>
            </w:r>
          </w:p>
        </w:tc>
        <w:tc>
          <w:tcPr>
            <w:tcW w:w="1843" w:type="dxa"/>
          </w:tcPr>
          <w:p w:rsidR="008C569E" w:rsidRPr="00EA7D53" w:rsidRDefault="00EA7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334.649,00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Voorzieningen</w:t>
            </w:r>
          </w:p>
        </w:tc>
        <w:tc>
          <w:tcPr>
            <w:tcW w:w="1842" w:type="dxa"/>
          </w:tcPr>
          <w:p w:rsidR="008C569E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A7D53" w:rsidRPr="00EA7D53">
              <w:rPr>
                <w:rFonts w:ascii="Arial" w:hAnsi="Arial" w:cs="Arial"/>
              </w:rPr>
              <w:t>45.380</w:t>
            </w:r>
            <w:r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1843" w:type="dxa"/>
          </w:tcPr>
          <w:p w:rsidR="008C569E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861E2">
              <w:rPr>
                <w:rFonts w:ascii="Arial" w:hAnsi="Arial" w:cs="Arial"/>
              </w:rPr>
              <w:t xml:space="preserve"> </w:t>
            </w:r>
            <w:r w:rsidR="00EA7D53">
              <w:rPr>
                <w:rFonts w:ascii="Arial" w:hAnsi="Arial" w:cs="Arial"/>
              </w:rPr>
              <w:t>0,00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Kortlopende schulden</w:t>
            </w:r>
          </w:p>
        </w:tc>
        <w:tc>
          <w:tcPr>
            <w:tcW w:w="1842" w:type="dxa"/>
          </w:tcPr>
          <w:p w:rsidR="008C569E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A7D53" w:rsidRPr="00EA7D53">
              <w:rPr>
                <w:rFonts w:ascii="Arial" w:hAnsi="Arial" w:cs="Arial"/>
              </w:rPr>
              <w:t>7198,00</w:t>
            </w:r>
          </w:p>
        </w:tc>
        <w:tc>
          <w:tcPr>
            <w:tcW w:w="1843" w:type="dxa"/>
          </w:tcPr>
          <w:p w:rsidR="008C569E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861E2">
              <w:rPr>
                <w:rFonts w:ascii="Arial" w:hAnsi="Arial" w:cs="Arial"/>
              </w:rPr>
              <w:t xml:space="preserve"> </w:t>
            </w:r>
            <w:r w:rsidR="00EA7D53">
              <w:rPr>
                <w:rFonts w:ascii="Arial" w:hAnsi="Arial" w:cs="Arial"/>
              </w:rPr>
              <w:t>2.764,00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C569E" w:rsidRPr="00EA7D53" w:rsidRDefault="00EA7D53">
            <w:pPr>
              <w:rPr>
                <w:rFonts w:ascii="Arial" w:hAnsi="Arial" w:cs="Arial"/>
                <w:b/>
              </w:rPr>
            </w:pPr>
            <w:r w:rsidRPr="00EA7D53">
              <w:rPr>
                <w:rFonts w:ascii="Arial" w:hAnsi="Arial" w:cs="Arial"/>
                <w:b/>
              </w:rPr>
              <w:t>344.614,00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  <w:b/>
              </w:rPr>
            </w:pPr>
            <w:r w:rsidRPr="002E63FA">
              <w:rPr>
                <w:rFonts w:ascii="Arial" w:hAnsi="Arial" w:cs="Arial"/>
                <w:b/>
              </w:rPr>
              <w:t>337.413,00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  <w:b/>
              </w:rPr>
            </w:pPr>
            <w:r w:rsidRPr="00EA7D53">
              <w:rPr>
                <w:rFonts w:ascii="Arial" w:hAnsi="Arial" w:cs="Arial"/>
                <w:b/>
              </w:rPr>
              <w:t>Resultatenoverzicht</w:t>
            </w:r>
          </w:p>
        </w:tc>
        <w:tc>
          <w:tcPr>
            <w:tcW w:w="1842" w:type="dxa"/>
          </w:tcPr>
          <w:p w:rsidR="008C569E" w:rsidRPr="00EA7D53" w:rsidRDefault="002E63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8C569E" w:rsidRPr="00EA7D53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843" w:type="dxa"/>
          </w:tcPr>
          <w:p w:rsidR="008C569E" w:rsidRPr="00EA7D53" w:rsidRDefault="002E63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8C569E" w:rsidRPr="00EA7D53">
              <w:rPr>
                <w:rFonts w:ascii="Arial" w:hAnsi="Arial" w:cs="Arial"/>
                <w:b/>
              </w:rPr>
              <w:t>2016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C569E" w:rsidRDefault="008C569E"/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Giften</w:t>
            </w:r>
          </w:p>
        </w:tc>
        <w:tc>
          <w:tcPr>
            <w:tcW w:w="1842" w:type="dxa"/>
          </w:tcPr>
          <w:p w:rsidR="008C569E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A7D53" w:rsidRPr="00EA7D53">
              <w:rPr>
                <w:rFonts w:ascii="Arial" w:hAnsi="Arial" w:cs="Arial"/>
              </w:rPr>
              <w:t>2962,00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A7D53" w:rsidRPr="002E63FA">
              <w:rPr>
                <w:rFonts w:ascii="Arial" w:hAnsi="Arial" w:cs="Arial"/>
              </w:rPr>
              <w:t>1200,00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Rentebaten</w:t>
            </w:r>
          </w:p>
        </w:tc>
        <w:tc>
          <w:tcPr>
            <w:tcW w:w="1842" w:type="dxa"/>
          </w:tcPr>
          <w:p w:rsidR="008C569E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A7D53" w:rsidRPr="00EA7D53">
              <w:rPr>
                <w:rFonts w:ascii="Arial" w:hAnsi="Arial" w:cs="Arial"/>
              </w:rPr>
              <w:t>3236,00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E63FA">
              <w:rPr>
                <w:rFonts w:ascii="Arial" w:hAnsi="Arial" w:cs="Arial"/>
              </w:rPr>
              <w:t>1709,00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Overige opbrengsten</w:t>
            </w:r>
          </w:p>
        </w:tc>
        <w:tc>
          <w:tcPr>
            <w:tcW w:w="1842" w:type="dxa"/>
          </w:tcPr>
          <w:p w:rsidR="008C569E" w:rsidRPr="00EA7D53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A7D53" w:rsidRPr="00EA7D53">
              <w:rPr>
                <w:rFonts w:ascii="Arial" w:hAnsi="Arial" w:cs="Arial"/>
              </w:rPr>
              <w:t>536,00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 w:rsidRPr="002E63FA">
              <w:rPr>
                <w:rFonts w:ascii="Arial" w:hAnsi="Arial" w:cs="Arial"/>
              </w:rPr>
              <w:t>45.302,00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C569E" w:rsidRDefault="008C569E"/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  <w:b/>
              </w:rPr>
            </w:pPr>
            <w:r w:rsidRPr="00EA7D53">
              <w:rPr>
                <w:rFonts w:ascii="Arial" w:hAnsi="Arial" w:cs="Arial"/>
                <w:b/>
              </w:rPr>
              <w:t>Totaal opbrengsten</w:t>
            </w:r>
          </w:p>
        </w:tc>
        <w:tc>
          <w:tcPr>
            <w:tcW w:w="1842" w:type="dxa"/>
          </w:tcPr>
          <w:p w:rsidR="008C569E" w:rsidRPr="00EA7D53" w:rsidRDefault="00F861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EA7D53" w:rsidRPr="00EA7D53">
              <w:rPr>
                <w:rFonts w:ascii="Arial" w:hAnsi="Arial" w:cs="Arial"/>
                <w:b/>
              </w:rPr>
              <w:t>6734,00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48.211</w:t>
            </w:r>
            <w:r w:rsidRPr="002E63FA">
              <w:rPr>
                <w:rFonts w:ascii="Arial" w:hAnsi="Arial" w:cs="Arial"/>
                <w:b/>
              </w:rPr>
              <w:t>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8C569E" w:rsidRDefault="008C569E"/>
        </w:tc>
        <w:tc>
          <w:tcPr>
            <w:tcW w:w="1843" w:type="dxa"/>
          </w:tcPr>
          <w:p w:rsidR="008C569E" w:rsidRDefault="008C569E"/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Personeelskosten</w:t>
            </w:r>
          </w:p>
        </w:tc>
        <w:tc>
          <w:tcPr>
            <w:tcW w:w="1842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EA7D53" w:rsidRPr="002E63FA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8C569E" w:rsidRPr="002E63FA" w:rsidRDefault="002E63FA" w:rsidP="00F86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861E2">
              <w:rPr>
                <w:rFonts w:ascii="Arial" w:hAnsi="Arial" w:cs="Arial"/>
              </w:rPr>
              <w:t xml:space="preserve">  </w:t>
            </w:r>
            <w:r w:rsidRPr="002E63FA">
              <w:rPr>
                <w:rFonts w:ascii="Arial" w:hAnsi="Arial" w:cs="Arial"/>
              </w:rPr>
              <w:t>0,00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Afschrijvingen</w:t>
            </w:r>
          </w:p>
        </w:tc>
        <w:tc>
          <w:tcPr>
            <w:tcW w:w="1842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EA7D53" w:rsidRPr="002E63FA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F861E2">
              <w:rPr>
                <w:rFonts w:ascii="Arial" w:hAnsi="Arial" w:cs="Arial"/>
              </w:rPr>
              <w:t xml:space="preserve"> </w:t>
            </w:r>
            <w:r w:rsidRPr="002E63FA">
              <w:rPr>
                <w:rFonts w:ascii="Arial" w:hAnsi="Arial" w:cs="Arial"/>
              </w:rPr>
              <w:t>0,00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Overige kosten/bestedingen</w:t>
            </w:r>
          </w:p>
        </w:tc>
        <w:tc>
          <w:tcPr>
            <w:tcW w:w="1842" w:type="dxa"/>
          </w:tcPr>
          <w:p w:rsidR="008C569E" w:rsidRPr="002E63FA" w:rsidRDefault="00EA7D53">
            <w:pPr>
              <w:rPr>
                <w:rFonts w:ascii="Arial" w:hAnsi="Arial" w:cs="Arial"/>
              </w:rPr>
            </w:pPr>
            <w:r w:rsidRPr="002E63FA">
              <w:rPr>
                <w:rFonts w:ascii="Arial" w:hAnsi="Arial" w:cs="Arial"/>
              </w:rPr>
              <w:t>14.638,00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E63FA">
              <w:rPr>
                <w:rFonts w:ascii="Arial" w:hAnsi="Arial" w:cs="Arial"/>
              </w:rPr>
              <w:t>5.598,00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Netto resultaat</w:t>
            </w:r>
          </w:p>
        </w:tc>
        <w:tc>
          <w:tcPr>
            <w:tcW w:w="1842" w:type="dxa"/>
          </w:tcPr>
          <w:p w:rsidR="008C569E" w:rsidRPr="002E63FA" w:rsidRDefault="002E63FA" w:rsidP="00EA7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A7D53" w:rsidRPr="002E63FA">
              <w:rPr>
                <w:rFonts w:ascii="Arial" w:hAnsi="Arial" w:cs="Arial"/>
              </w:rPr>
              <w:t>-7.904,00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 w:rsidRPr="002E63FA">
              <w:rPr>
                <w:rFonts w:ascii="Arial" w:hAnsi="Arial" w:cs="Arial"/>
              </w:rPr>
              <w:t>42.613,00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C569E" w:rsidRDefault="008C569E"/>
        </w:tc>
        <w:tc>
          <w:tcPr>
            <w:tcW w:w="1843" w:type="dxa"/>
          </w:tcPr>
          <w:p w:rsidR="008C569E" w:rsidRDefault="008C569E"/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  <w:b/>
              </w:rPr>
            </w:pPr>
            <w:r w:rsidRPr="00EA7D53">
              <w:rPr>
                <w:rFonts w:ascii="Arial" w:hAnsi="Arial" w:cs="Arial"/>
                <w:b/>
              </w:rPr>
              <w:t>Toelichting:</w:t>
            </w:r>
          </w:p>
        </w:tc>
        <w:tc>
          <w:tcPr>
            <w:tcW w:w="1842" w:type="dxa"/>
          </w:tcPr>
          <w:p w:rsidR="008C569E" w:rsidRDefault="008C569E"/>
        </w:tc>
        <w:tc>
          <w:tcPr>
            <w:tcW w:w="1843" w:type="dxa"/>
          </w:tcPr>
          <w:p w:rsidR="008C569E" w:rsidRDefault="008C569E"/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Eigen vermogen</w:t>
            </w:r>
          </w:p>
        </w:tc>
        <w:tc>
          <w:tcPr>
            <w:tcW w:w="1842" w:type="dxa"/>
          </w:tcPr>
          <w:p w:rsidR="008C569E" w:rsidRPr="002E63FA" w:rsidRDefault="00EA7D53">
            <w:pPr>
              <w:rPr>
                <w:rFonts w:ascii="Arial" w:hAnsi="Arial" w:cs="Arial"/>
              </w:rPr>
            </w:pPr>
            <w:r w:rsidRPr="002E63FA">
              <w:rPr>
                <w:rFonts w:ascii="Arial" w:hAnsi="Arial" w:cs="Arial"/>
              </w:rPr>
              <w:t>299.940,00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 w:rsidRPr="002E63FA">
              <w:rPr>
                <w:rFonts w:ascii="Arial" w:hAnsi="Arial" w:cs="Arial"/>
              </w:rPr>
              <w:t>292.036,00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Toevoeging</w:t>
            </w:r>
          </w:p>
        </w:tc>
        <w:tc>
          <w:tcPr>
            <w:tcW w:w="1842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A7D53" w:rsidRPr="002E63FA">
              <w:rPr>
                <w:rFonts w:ascii="Arial" w:hAnsi="Arial" w:cs="Arial"/>
              </w:rPr>
              <w:t>-7904,00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E63FA">
              <w:rPr>
                <w:rFonts w:ascii="Arial" w:hAnsi="Arial" w:cs="Arial"/>
              </w:rPr>
              <w:t>42.613,00</w:t>
            </w: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C569E" w:rsidRPr="002E63FA" w:rsidRDefault="008C56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C569E" w:rsidRPr="002E63FA" w:rsidRDefault="008C569E">
            <w:pPr>
              <w:rPr>
                <w:rFonts w:ascii="Arial" w:hAnsi="Arial" w:cs="Arial"/>
              </w:rPr>
            </w:pPr>
          </w:p>
        </w:tc>
      </w:tr>
      <w:tr w:rsidR="008C569E" w:rsidTr="008C569E">
        <w:tc>
          <w:tcPr>
            <w:tcW w:w="3369" w:type="dxa"/>
          </w:tcPr>
          <w:p w:rsidR="008C569E" w:rsidRPr="00EA7D53" w:rsidRDefault="008C569E">
            <w:pPr>
              <w:rPr>
                <w:rFonts w:ascii="Arial" w:hAnsi="Arial" w:cs="Arial"/>
              </w:rPr>
            </w:pPr>
            <w:r w:rsidRPr="00EA7D53">
              <w:rPr>
                <w:rFonts w:ascii="Arial" w:hAnsi="Arial" w:cs="Arial"/>
              </w:rPr>
              <w:t>Eigenvermogen einde boekjaar</w:t>
            </w:r>
          </w:p>
        </w:tc>
        <w:tc>
          <w:tcPr>
            <w:tcW w:w="1842" w:type="dxa"/>
          </w:tcPr>
          <w:p w:rsidR="008C569E" w:rsidRPr="002E63FA" w:rsidRDefault="00EA7D53">
            <w:pPr>
              <w:rPr>
                <w:rFonts w:ascii="Arial" w:hAnsi="Arial" w:cs="Arial"/>
                <w:b/>
              </w:rPr>
            </w:pPr>
            <w:r w:rsidRPr="002E63FA">
              <w:rPr>
                <w:rFonts w:ascii="Arial" w:hAnsi="Arial" w:cs="Arial"/>
                <w:b/>
              </w:rPr>
              <w:t>292.036,00</w:t>
            </w:r>
          </w:p>
        </w:tc>
        <w:tc>
          <w:tcPr>
            <w:tcW w:w="1843" w:type="dxa"/>
          </w:tcPr>
          <w:p w:rsidR="008C569E" w:rsidRPr="002E63FA" w:rsidRDefault="002E63FA">
            <w:pPr>
              <w:rPr>
                <w:rFonts w:ascii="Arial" w:hAnsi="Arial" w:cs="Arial"/>
                <w:b/>
              </w:rPr>
            </w:pPr>
            <w:r w:rsidRPr="002E63FA">
              <w:rPr>
                <w:rFonts w:ascii="Arial" w:hAnsi="Arial" w:cs="Arial"/>
                <w:b/>
              </w:rPr>
              <w:t>334.649,00</w:t>
            </w:r>
          </w:p>
        </w:tc>
      </w:tr>
    </w:tbl>
    <w:p w:rsidR="00E755D7" w:rsidRDefault="00E755D7"/>
    <w:p w:rsidR="008C569E" w:rsidRPr="00A454D3" w:rsidRDefault="008C569E" w:rsidP="007B2339">
      <w:pPr>
        <w:spacing w:line="240" w:lineRule="auto"/>
        <w:contextualSpacing/>
        <w:rPr>
          <w:rFonts w:ascii="Arial" w:hAnsi="Arial" w:cs="Arial"/>
          <w:u w:val="single"/>
        </w:rPr>
      </w:pPr>
      <w:r w:rsidRPr="00A454D3">
        <w:rPr>
          <w:rFonts w:ascii="Arial" w:hAnsi="Arial" w:cs="Arial"/>
          <w:u w:val="single"/>
        </w:rPr>
        <w:t>Verslag 2016:</w:t>
      </w:r>
    </w:p>
    <w:p w:rsidR="008C569E" w:rsidRPr="00EA7D53" w:rsidRDefault="008C569E" w:rsidP="007B2339">
      <w:pPr>
        <w:spacing w:line="240" w:lineRule="auto"/>
        <w:contextualSpacing/>
        <w:rPr>
          <w:rFonts w:ascii="Arial" w:hAnsi="Arial" w:cs="Arial"/>
        </w:rPr>
      </w:pPr>
      <w:r w:rsidRPr="00EA7D53">
        <w:rPr>
          <w:rFonts w:ascii="Arial" w:hAnsi="Arial" w:cs="Arial"/>
        </w:rPr>
        <w:t>Ons bestuur bestond op 31 december 2016 weer  uit een voltallig bestuur</w:t>
      </w:r>
      <w:r w:rsidR="007B2339" w:rsidRPr="00EA7D53">
        <w:rPr>
          <w:rFonts w:ascii="Arial" w:hAnsi="Arial" w:cs="Arial"/>
        </w:rPr>
        <w:t xml:space="preserve"> van 5 personen. In 2016 hebben we afscheid moeten nemen </w:t>
      </w:r>
      <w:r w:rsidRPr="00EA7D53">
        <w:rPr>
          <w:rFonts w:ascii="Arial" w:hAnsi="Arial" w:cs="Arial"/>
        </w:rPr>
        <w:t xml:space="preserve">onze </w:t>
      </w:r>
      <w:r w:rsidR="007B2339" w:rsidRPr="00EA7D53">
        <w:rPr>
          <w:rFonts w:ascii="Arial" w:hAnsi="Arial" w:cs="Arial"/>
        </w:rPr>
        <w:t>voorzitter H. Meesters</w:t>
      </w:r>
      <w:r w:rsidRPr="00EA7D53">
        <w:rPr>
          <w:rFonts w:ascii="Arial" w:hAnsi="Arial" w:cs="Arial"/>
        </w:rPr>
        <w:t xml:space="preserve">. </w:t>
      </w:r>
      <w:r w:rsidR="007B2339" w:rsidRPr="00EA7D53">
        <w:rPr>
          <w:rFonts w:ascii="Arial" w:hAnsi="Arial" w:cs="Arial"/>
        </w:rPr>
        <w:t xml:space="preserve">Hij overleed  in januari na een kort ziekbed. </w:t>
      </w:r>
      <w:r w:rsidRPr="00EA7D53">
        <w:rPr>
          <w:rFonts w:ascii="Arial" w:hAnsi="Arial" w:cs="Arial"/>
        </w:rPr>
        <w:t>Nadat halverwege het</w:t>
      </w:r>
      <w:r w:rsidR="007B2339" w:rsidRPr="00EA7D53">
        <w:rPr>
          <w:rFonts w:ascii="Arial" w:hAnsi="Arial" w:cs="Arial"/>
        </w:rPr>
        <w:t xml:space="preserve"> jaar</w:t>
      </w:r>
      <w:r w:rsidR="002E63FA">
        <w:rPr>
          <w:rFonts w:ascii="Arial" w:hAnsi="Arial" w:cs="Arial"/>
        </w:rPr>
        <w:t xml:space="preserve"> dhr.</w:t>
      </w:r>
      <w:r w:rsidR="00A454D3">
        <w:rPr>
          <w:rFonts w:ascii="Arial" w:hAnsi="Arial" w:cs="Arial"/>
        </w:rPr>
        <w:t xml:space="preserve"> </w:t>
      </w:r>
      <w:r w:rsidR="007B2339" w:rsidRPr="00EA7D53">
        <w:rPr>
          <w:rFonts w:ascii="Arial" w:hAnsi="Arial" w:cs="Arial"/>
        </w:rPr>
        <w:t xml:space="preserve">G. </w:t>
      </w:r>
      <w:proofErr w:type="spellStart"/>
      <w:r w:rsidR="007B2339" w:rsidRPr="00EA7D53">
        <w:rPr>
          <w:rFonts w:ascii="Arial" w:hAnsi="Arial" w:cs="Arial"/>
        </w:rPr>
        <w:t>Kruise</w:t>
      </w:r>
      <w:proofErr w:type="spellEnd"/>
      <w:r w:rsidR="007B2339" w:rsidRPr="00EA7D53">
        <w:rPr>
          <w:rFonts w:ascii="Arial" w:hAnsi="Arial" w:cs="Arial"/>
        </w:rPr>
        <w:t xml:space="preserve"> ons bestuur </w:t>
      </w:r>
      <w:r w:rsidRPr="00EA7D53">
        <w:rPr>
          <w:rFonts w:ascii="Arial" w:hAnsi="Arial" w:cs="Arial"/>
        </w:rPr>
        <w:t>is</w:t>
      </w:r>
      <w:r w:rsidR="007B2339" w:rsidRPr="00EA7D53">
        <w:rPr>
          <w:rFonts w:ascii="Arial" w:hAnsi="Arial" w:cs="Arial"/>
        </w:rPr>
        <w:t xml:space="preserve"> komen</w:t>
      </w:r>
      <w:r w:rsidRPr="00EA7D53">
        <w:rPr>
          <w:rFonts w:ascii="Arial" w:hAnsi="Arial" w:cs="Arial"/>
        </w:rPr>
        <w:t xml:space="preserve"> versterken</w:t>
      </w:r>
      <w:r w:rsidR="007B2339" w:rsidRPr="00EA7D53">
        <w:rPr>
          <w:rFonts w:ascii="Arial" w:hAnsi="Arial" w:cs="Arial"/>
        </w:rPr>
        <w:t>,</w:t>
      </w:r>
      <w:r w:rsidR="00A454D3">
        <w:rPr>
          <w:rFonts w:ascii="Arial" w:hAnsi="Arial" w:cs="Arial"/>
        </w:rPr>
        <w:t xml:space="preserve"> was ons bestuur (bestaande uit: dhr. </w:t>
      </w:r>
      <w:r w:rsidR="007B2339" w:rsidRPr="00EA7D53">
        <w:rPr>
          <w:rFonts w:ascii="Arial" w:hAnsi="Arial" w:cs="Arial"/>
        </w:rPr>
        <w:t xml:space="preserve">G. </w:t>
      </w:r>
      <w:proofErr w:type="spellStart"/>
      <w:r w:rsidR="007B2339" w:rsidRPr="00EA7D53">
        <w:rPr>
          <w:rFonts w:ascii="Arial" w:hAnsi="Arial" w:cs="Arial"/>
        </w:rPr>
        <w:t>Evenhuis</w:t>
      </w:r>
      <w:proofErr w:type="spellEnd"/>
      <w:r w:rsidR="007B2339" w:rsidRPr="00EA7D53">
        <w:rPr>
          <w:rFonts w:ascii="Arial" w:hAnsi="Arial" w:cs="Arial"/>
        </w:rPr>
        <w:t xml:space="preserve"> (voorzitter), </w:t>
      </w:r>
      <w:r w:rsidR="00A454D3">
        <w:rPr>
          <w:rFonts w:ascii="Arial" w:hAnsi="Arial" w:cs="Arial"/>
        </w:rPr>
        <w:t xml:space="preserve">dhr. </w:t>
      </w:r>
      <w:r w:rsidR="007B2339" w:rsidRPr="00EA7D53">
        <w:rPr>
          <w:rFonts w:ascii="Arial" w:hAnsi="Arial" w:cs="Arial"/>
        </w:rPr>
        <w:t>B .</w:t>
      </w:r>
      <w:proofErr w:type="spellStart"/>
      <w:r w:rsidR="007B2339" w:rsidRPr="00EA7D53">
        <w:rPr>
          <w:rFonts w:ascii="Arial" w:hAnsi="Arial" w:cs="Arial"/>
        </w:rPr>
        <w:t>Swiebel</w:t>
      </w:r>
      <w:proofErr w:type="spellEnd"/>
      <w:r w:rsidR="007B2339" w:rsidRPr="00EA7D53">
        <w:rPr>
          <w:rFonts w:ascii="Arial" w:hAnsi="Arial" w:cs="Arial"/>
        </w:rPr>
        <w:t xml:space="preserve"> (secr./penningmeester), </w:t>
      </w:r>
      <w:r w:rsidR="00A454D3">
        <w:rPr>
          <w:rFonts w:ascii="Arial" w:hAnsi="Arial" w:cs="Arial"/>
        </w:rPr>
        <w:t xml:space="preserve">dhr. </w:t>
      </w:r>
      <w:r w:rsidR="007B2339" w:rsidRPr="00EA7D53">
        <w:rPr>
          <w:rFonts w:ascii="Arial" w:hAnsi="Arial" w:cs="Arial"/>
        </w:rPr>
        <w:t xml:space="preserve">G. Braam, </w:t>
      </w:r>
      <w:r w:rsidR="00A454D3">
        <w:rPr>
          <w:rFonts w:ascii="Arial" w:hAnsi="Arial" w:cs="Arial"/>
        </w:rPr>
        <w:t xml:space="preserve">dhr. </w:t>
      </w:r>
      <w:r w:rsidR="007B2339" w:rsidRPr="00EA7D53">
        <w:rPr>
          <w:rFonts w:ascii="Arial" w:hAnsi="Arial" w:cs="Arial"/>
        </w:rPr>
        <w:t xml:space="preserve">G. </w:t>
      </w:r>
      <w:proofErr w:type="spellStart"/>
      <w:r w:rsidR="007B2339" w:rsidRPr="00EA7D53">
        <w:rPr>
          <w:rFonts w:ascii="Arial" w:hAnsi="Arial" w:cs="Arial"/>
        </w:rPr>
        <w:t>Kruise</w:t>
      </w:r>
      <w:proofErr w:type="spellEnd"/>
      <w:r w:rsidR="007B2339" w:rsidRPr="00EA7D53">
        <w:rPr>
          <w:rFonts w:ascii="Arial" w:hAnsi="Arial" w:cs="Arial"/>
        </w:rPr>
        <w:t xml:space="preserve"> e</w:t>
      </w:r>
      <w:r w:rsidR="00A454D3">
        <w:rPr>
          <w:rFonts w:ascii="Arial" w:hAnsi="Arial" w:cs="Arial"/>
        </w:rPr>
        <w:t>n dhr. L. Helmus) weer compleet.</w:t>
      </w:r>
    </w:p>
    <w:p w:rsidR="007B2339" w:rsidRDefault="007B2339" w:rsidP="007B2339">
      <w:pPr>
        <w:spacing w:line="240" w:lineRule="auto"/>
        <w:contextualSpacing/>
        <w:rPr>
          <w:rFonts w:ascii="Arial" w:hAnsi="Arial" w:cs="Arial"/>
        </w:rPr>
      </w:pPr>
      <w:r w:rsidRPr="00EA7D53">
        <w:rPr>
          <w:rFonts w:ascii="Arial" w:hAnsi="Arial" w:cs="Arial"/>
        </w:rPr>
        <w:t>In 2016 is een voorziening vrijgevallen van € 44</w:t>
      </w:r>
      <w:r w:rsidR="002E63FA">
        <w:rPr>
          <w:rFonts w:ascii="Arial" w:hAnsi="Arial" w:cs="Arial"/>
        </w:rPr>
        <w:t>.</w:t>
      </w:r>
      <w:r w:rsidRPr="00EA7D53">
        <w:rPr>
          <w:rFonts w:ascii="Arial" w:hAnsi="Arial" w:cs="Arial"/>
        </w:rPr>
        <w:t>880</w:t>
      </w:r>
      <w:r w:rsidR="002E63FA">
        <w:rPr>
          <w:rFonts w:ascii="Arial" w:hAnsi="Arial" w:cs="Arial"/>
        </w:rPr>
        <w:t>,00</w:t>
      </w:r>
      <w:r w:rsidRPr="00EA7D53">
        <w:rPr>
          <w:rFonts w:ascii="Arial" w:hAnsi="Arial" w:cs="Arial"/>
        </w:rPr>
        <w:t xml:space="preserve"> i.v</w:t>
      </w:r>
      <w:r w:rsidR="00A454D3">
        <w:rPr>
          <w:rFonts w:ascii="Arial" w:hAnsi="Arial" w:cs="Arial"/>
        </w:rPr>
        <w:t>.</w:t>
      </w:r>
      <w:r w:rsidRPr="00EA7D53">
        <w:rPr>
          <w:rFonts w:ascii="Arial" w:hAnsi="Arial" w:cs="Arial"/>
        </w:rPr>
        <w:t xml:space="preserve">m. de afschaffing van de </w:t>
      </w:r>
      <w:proofErr w:type="spellStart"/>
      <w:r w:rsidRPr="00EA7D53">
        <w:rPr>
          <w:rFonts w:ascii="Arial" w:hAnsi="Arial" w:cs="Arial"/>
        </w:rPr>
        <w:t>Schansbus</w:t>
      </w:r>
      <w:proofErr w:type="spellEnd"/>
      <w:r w:rsidRPr="00EA7D53">
        <w:rPr>
          <w:rFonts w:ascii="Arial" w:hAnsi="Arial" w:cs="Arial"/>
        </w:rPr>
        <w:t xml:space="preserve">. De bus hebben we voor een symbolisch bedrag van € 0 “verkocht”  aan woon- en zorgcentrum </w:t>
      </w:r>
      <w:proofErr w:type="spellStart"/>
      <w:r w:rsidRPr="00EA7D53">
        <w:rPr>
          <w:rFonts w:ascii="Arial" w:hAnsi="Arial" w:cs="Arial"/>
        </w:rPr>
        <w:t>Tangenborgh</w:t>
      </w:r>
      <w:proofErr w:type="spellEnd"/>
      <w:r w:rsidRPr="00EA7D53">
        <w:rPr>
          <w:rFonts w:ascii="Arial" w:hAnsi="Arial" w:cs="Arial"/>
        </w:rPr>
        <w:t xml:space="preserve">, </w:t>
      </w:r>
      <w:r w:rsidR="00EA7D53">
        <w:rPr>
          <w:rFonts w:ascii="Arial" w:hAnsi="Arial" w:cs="Arial"/>
        </w:rPr>
        <w:t>l</w:t>
      </w:r>
      <w:r w:rsidRPr="00EA7D53">
        <w:rPr>
          <w:rFonts w:ascii="Arial" w:hAnsi="Arial" w:cs="Arial"/>
        </w:rPr>
        <w:t>ocatie De Schans.</w:t>
      </w:r>
    </w:p>
    <w:p w:rsidR="00A454D3" w:rsidRPr="00EA7D53" w:rsidRDefault="00A454D3" w:rsidP="007B233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 datzelfde jaar hebben we ook een aantal verzoeken om een bijdrage ingewilligd. Daar zijn 4 sjoelbakken (€440) voor aangeschaft voor één van de  woontorens</w:t>
      </w:r>
      <w:r w:rsidR="00F861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861E2">
        <w:rPr>
          <w:rFonts w:ascii="Arial" w:hAnsi="Arial" w:cs="Arial"/>
        </w:rPr>
        <w:t xml:space="preserve">Ook is er een kippenhok voor afd. Vennen </w:t>
      </w:r>
      <w:bookmarkStart w:id="0" w:name="_GoBack"/>
      <w:bookmarkEnd w:id="0"/>
      <w:r>
        <w:rPr>
          <w:rFonts w:ascii="Arial" w:hAnsi="Arial" w:cs="Arial"/>
        </w:rPr>
        <w:t>van de Schans gerealiseerd (€ 269).</w:t>
      </w:r>
    </w:p>
    <w:sectPr w:rsidR="00A454D3" w:rsidRPr="00EA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6735"/>
    <w:multiLevelType w:val="hybridMultilevel"/>
    <w:tmpl w:val="71E49A68"/>
    <w:lvl w:ilvl="0" w:tplc="4210E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E3"/>
    <w:rsid w:val="002E63FA"/>
    <w:rsid w:val="007B2339"/>
    <w:rsid w:val="007D7FE3"/>
    <w:rsid w:val="008C569E"/>
    <w:rsid w:val="00A454D3"/>
    <w:rsid w:val="00E755D7"/>
    <w:rsid w:val="00EA7D53"/>
    <w:rsid w:val="00F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D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D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6</cp:revision>
  <dcterms:created xsi:type="dcterms:W3CDTF">2017-05-26T15:42:00Z</dcterms:created>
  <dcterms:modified xsi:type="dcterms:W3CDTF">2017-06-06T12:40:00Z</dcterms:modified>
</cp:coreProperties>
</file>