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Jaarverslag 201</w:t>
      </w:r>
      <w:bookmarkStart w:id="0" w:name="_GoBack"/>
      <w:bookmarkEnd w:id="0"/>
      <w:r w:rsidR="0018644E">
        <w:rPr>
          <w:rFonts w:ascii="Cambria,Bold" w:hAnsi="Cambria,Bold" w:cs="Cambria,Bold"/>
          <w:b/>
          <w:bCs/>
          <w:sz w:val="26"/>
          <w:szCs w:val="26"/>
          <w:lang w:val="nl-NL"/>
        </w:rPr>
        <w:t>6</w:t>
      </w:r>
    </w:p>
    <w:p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/>
      </w:tblPr>
      <w:tblGrid>
        <w:gridCol w:w="2518"/>
        <w:gridCol w:w="1422"/>
        <w:gridCol w:w="2547"/>
        <w:gridCol w:w="1653"/>
      </w:tblGrid>
      <w:tr w:rsidR="006234D3" w:rsidRPr="006234D3">
        <w:trPr>
          <w:cnfStyle w:val="1000000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8713FE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2016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8713FE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2016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€ 7.045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062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:rsidR="006234D3" w:rsidRPr="006234D3" w:rsidRDefault="00E343F9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2.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805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753A2B" w:rsidP="00E343F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719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632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voorzieningen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€ 369.41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18644E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€ 5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583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€ 225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172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Liquide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€ 118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812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94218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  <w:r w:rsidR="00E343F9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</w:tr>
      <w:tr w:rsidR="006234D3" w:rsidRPr="00657052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:rsidR="006234D3" w:rsidRPr="00657052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€ 7.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889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090</w:t>
            </w:r>
          </w:p>
        </w:tc>
        <w:tc>
          <w:tcPr>
            <w:tcW w:w="2547" w:type="dxa"/>
            <w:noWrap/>
          </w:tcPr>
          <w:p w:rsidR="006234D3" w:rsidRPr="00657052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:rsidR="006234D3" w:rsidRPr="00657052" w:rsidRDefault="0094218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7.889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090</w:t>
            </w:r>
          </w:p>
        </w:tc>
      </w:tr>
    </w:tbl>
    <w:p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/>
      </w:tblPr>
      <w:tblGrid>
        <w:gridCol w:w="3840"/>
        <w:gridCol w:w="1780"/>
      </w:tblGrid>
      <w:tr w:rsidR="006234D3" w:rsidRPr="00657052">
        <w:trPr>
          <w:cnfStyle w:val="1000000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:rsidR="006234D3" w:rsidRPr="008713FE" w:rsidRDefault="0018644E" w:rsidP="00076766">
            <w:pPr>
              <w:jc w:val="right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2016</w:t>
            </w:r>
          </w:p>
        </w:tc>
      </w:tr>
      <w:tr w:rsidR="0018644E" w:rsidRPr="00657052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:rsidR="0018644E" w:rsidRPr="00657052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€ 28.840</w:t>
            </w:r>
          </w:p>
        </w:tc>
      </w:tr>
      <w:tr w:rsidR="0018644E" w:rsidRPr="00657052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:rsidR="0018644E" w:rsidRPr="008713FE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€ 1.105</w:t>
            </w:r>
          </w:p>
        </w:tc>
      </w:tr>
      <w:tr w:rsidR="0018644E" w:rsidRPr="008713FE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€ 93.089</w:t>
            </w:r>
          </w:p>
        </w:tc>
      </w:tr>
      <w:tr w:rsidR="0018644E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€ 81.665</w:t>
            </w:r>
          </w:p>
        </w:tc>
      </w:tr>
      <w:tr w:rsidR="0018644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Tuin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, Park &amp;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Bos</w:t>
            </w:r>
            <w:proofErr w:type="spellEnd"/>
          </w:p>
        </w:tc>
        <w:tc>
          <w:tcPr>
            <w:tcW w:w="1780" w:type="dxa"/>
            <w:noWrap/>
          </w:tcPr>
          <w:p w:rsidR="0018644E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€ 11.536</w:t>
            </w:r>
          </w:p>
        </w:tc>
      </w:tr>
      <w:tr w:rsidR="0018644E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en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€ 36.461</w:t>
            </w:r>
          </w:p>
        </w:tc>
      </w:tr>
      <w:tr w:rsidR="0018644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:rsidR="0018644E" w:rsidRPr="008713FE" w:rsidRDefault="0018644E" w:rsidP="0018644E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€ 252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696</w:t>
            </w:r>
          </w:p>
        </w:tc>
      </w:tr>
      <w:tr w:rsidR="0018644E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en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€ 54.995</w:t>
            </w:r>
          </w:p>
        </w:tc>
      </w:tr>
      <w:tr w:rsidR="0018644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incl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€ 32.275</w:t>
            </w:r>
          </w:p>
        </w:tc>
      </w:tr>
      <w:tr w:rsidR="0018644E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€ 69.472</w:t>
            </w:r>
          </w:p>
        </w:tc>
      </w:tr>
      <w:tr w:rsidR="0018644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€ 5.419</w:t>
            </w:r>
          </w:p>
        </w:tc>
      </w:tr>
      <w:tr w:rsidR="0018644E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:rsidR="0018644E" w:rsidRPr="008713FE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€ 162</w:t>
            </w:r>
            <w:r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161</w:t>
            </w:r>
          </w:p>
        </w:tc>
      </w:tr>
      <w:tr w:rsidR="0018644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18644E" w:rsidRPr="006234D3" w:rsidRDefault="0018644E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:rsidR="0018644E" w:rsidRPr="008713FE" w:rsidRDefault="0018644E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€ 90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543</w:t>
            </w:r>
          </w:p>
        </w:tc>
      </w:tr>
    </w:tbl>
    <w:p w:rsidR="000E30BF" w:rsidRDefault="000E30BF" w:rsidP="00DF188D"/>
    <w:p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Onder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wordt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verstaan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</w:rPr>
        <w:t>opbrengst</w:t>
      </w:r>
      <w:proofErr w:type="spellEnd"/>
      <w:r>
        <w:rPr>
          <w:rFonts w:ascii="Times New Roman" w:hAnsi="Times New Roman" w:cs="Times New Roman"/>
          <w:color w:val="000000"/>
        </w:rPr>
        <w:t xml:space="preserve"> van de in het </w:t>
      </w:r>
      <w:proofErr w:type="spellStart"/>
      <w:r>
        <w:rPr>
          <w:rFonts w:ascii="Times New Roman" w:hAnsi="Times New Roman" w:cs="Times New Roman"/>
          <w:color w:val="000000"/>
        </w:rPr>
        <w:t>verslagjaar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geleverde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diensten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onder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aftrek</w:t>
      </w:r>
      <w:proofErr w:type="spellEnd"/>
      <w:r>
        <w:rPr>
          <w:rFonts w:ascii="Times New Roman" w:hAnsi="Times New Roman" w:cs="Times New Roman"/>
          <w:color w:val="000000"/>
        </w:rPr>
        <w:t xml:space="preserve"> van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kortingen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Het </w:t>
      </w:r>
      <w:proofErr w:type="spellStart"/>
      <w:r>
        <w:rPr>
          <w:rFonts w:ascii="Times New Roman" w:hAnsi="Times New Roman" w:cs="Times New Roman"/>
          <w:color w:val="000000"/>
        </w:rPr>
        <w:t>resultaat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wordt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bepaald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als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</w:rPr>
        <w:t>verschil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tussen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</w:rPr>
        <w:t>baten</w:t>
      </w:r>
      <w:proofErr w:type="spellEnd"/>
      <w:r>
        <w:rPr>
          <w:rFonts w:ascii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</w:rPr>
        <w:t>alle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hiermee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verbonden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</w:rPr>
        <w:t>andere</w:t>
      </w:r>
      <w:proofErr w:type="spellEnd"/>
    </w:p>
    <w:p w:rsidR="0018644E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aan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</w:rPr>
        <w:t>verslagjaar</w:t>
      </w:r>
      <w:proofErr w:type="spellEnd"/>
      <w:r>
        <w:rPr>
          <w:rFonts w:ascii="Times New Roman" w:hAnsi="Times New Roman" w:cs="Times New Roman"/>
          <w:color w:val="000000"/>
        </w:rPr>
        <w:t xml:space="preserve"> toe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rekenen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A72756" w:rsidRPr="00B1252E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B1252E">
        <w:rPr>
          <w:rFonts w:ascii="Times New Roman" w:hAnsi="Times New Roman" w:cs="Times New Roman"/>
          <w:color w:val="000000"/>
        </w:rPr>
        <w:t>Alle</w:t>
      </w:r>
      <w:proofErr w:type="spellEnd"/>
      <w:r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252E">
        <w:rPr>
          <w:rFonts w:ascii="Times New Roman" w:hAnsi="Times New Roman" w:cs="Times New Roman"/>
          <w:color w:val="000000"/>
        </w:rPr>
        <w:t>bedragen</w:t>
      </w:r>
      <w:proofErr w:type="spellEnd"/>
      <w:r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252E">
        <w:rPr>
          <w:rFonts w:ascii="Times New Roman" w:hAnsi="Times New Roman" w:cs="Times New Roman"/>
          <w:color w:val="000000"/>
        </w:rPr>
        <w:t>zijn</w:t>
      </w:r>
      <w:proofErr w:type="spellEnd"/>
      <w:r w:rsidRPr="00B1252E">
        <w:rPr>
          <w:rFonts w:ascii="Times New Roman" w:hAnsi="Times New Roman" w:cs="Times New Roman"/>
          <w:color w:val="000000"/>
        </w:rPr>
        <w:t xml:space="preserve"> in euro’s</w:t>
      </w:r>
      <w:r w:rsidR="00B1252E" w:rsidRPr="00B1252E">
        <w:rPr>
          <w:rFonts w:ascii="Times New Roman" w:hAnsi="Times New Roman" w:cs="Times New Roman"/>
          <w:color w:val="000000"/>
        </w:rPr>
        <w:t xml:space="preserve">, in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enkele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gevallen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zijn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afrondingsfouten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opgetreden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, die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nooit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meer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zijn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dan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r w:rsidR="00B1252E">
        <w:rPr>
          <w:rFonts w:ascii="Calibri" w:eastAsia="Times New Roman" w:hAnsi="Calibri" w:cs="Times New Roman"/>
          <w:color w:val="000000"/>
          <w:lang w:eastAsia="nl-NL"/>
        </w:rPr>
        <w:t xml:space="preserve">€ </w:t>
      </w:r>
      <w:r w:rsidR="00B1252E" w:rsidRPr="00B1252E">
        <w:rPr>
          <w:rFonts w:ascii="Times New Roman" w:hAnsi="Times New Roman" w:cs="Times New Roman"/>
          <w:color w:val="000000"/>
        </w:rPr>
        <w:t>1</w:t>
      </w:r>
      <w:proofErr w:type="gramStart"/>
      <w:r w:rsidR="00B1252E" w:rsidRPr="00B1252E">
        <w:rPr>
          <w:rFonts w:ascii="Times New Roman" w:hAnsi="Times New Roman" w:cs="Times New Roman"/>
          <w:color w:val="000000"/>
        </w:rPr>
        <w:t>,-</w:t>
      </w:r>
      <w:proofErr w:type="gramEnd"/>
      <w:r w:rsidR="00B1252E" w:rsidRPr="00B1252E">
        <w:rPr>
          <w:rFonts w:ascii="Times New Roman" w:hAnsi="Times New Roman" w:cs="Times New Roman"/>
          <w:color w:val="000000"/>
        </w:rPr>
        <w:t>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Afschrijvingen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afschrijvingspercentages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bedragen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voor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Opstallen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Cultuurgronden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Bos</w:t>
      </w:r>
      <w:proofErr w:type="spellEnd"/>
      <w:r>
        <w:rPr>
          <w:rFonts w:ascii="Times New Roman" w:hAnsi="Times New Roman" w:cs="Times New Roman"/>
          <w:color w:val="000000"/>
        </w:rPr>
        <w:t xml:space="preserve">, park, </w:t>
      </w:r>
      <w:proofErr w:type="spellStart"/>
      <w:r>
        <w:rPr>
          <w:rFonts w:ascii="Times New Roman" w:hAnsi="Times New Roman" w:cs="Times New Roman"/>
          <w:color w:val="000000"/>
        </w:rPr>
        <w:t>tuin</w:t>
      </w:r>
      <w:proofErr w:type="spellEnd"/>
      <w:r>
        <w:rPr>
          <w:rFonts w:ascii="Times New Roman" w:hAnsi="Times New Roman" w:cs="Times New Roman"/>
          <w:color w:val="000000"/>
        </w:rPr>
        <w:t xml:space="preserve"> &amp; water: </w:t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Inventaris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Financiele</w:t>
      </w:r>
      <w:proofErr w:type="spellEnd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baten</w:t>
      </w:r>
      <w:proofErr w:type="spellEnd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lasten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rentebaten</w:t>
      </w:r>
      <w:proofErr w:type="spellEnd"/>
      <w:r>
        <w:rPr>
          <w:rFonts w:ascii="Times New Roman" w:hAnsi="Times New Roman" w:cs="Times New Roman"/>
          <w:color w:val="000000"/>
        </w:rPr>
        <w:t xml:space="preserve"> en –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betreffen</w:t>
      </w:r>
      <w:proofErr w:type="spellEnd"/>
      <w:r>
        <w:rPr>
          <w:rFonts w:ascii="Times New Roman" w:hAnsi="Times New Roman" w:cs="Times New Roman"/>
          <w:color w:val="000000"/>
        </w:rPr>
        <w:t xml:space="preserve"> de op de </w:t>
      </w:r>
      <w:proofErr w:type="spellStart"/>
      <w:r>
        <w:rPr>
          <w:rFonts w:ascii="Times New Roman" w:hAnsi="Times New Roman" w:cs="Times New Roman"/>
          <w:color w:val="000000"/>
        </w:rPr>
        <w:t>verslagperiode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betrekking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hebbende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renteopbrengsten</w:t>
      </w:r>
      <w:proofErr w:type="spellEnd"/>
      <w:r>
        <w:rPr>
          <w:rFonts w:ascii="Times New Roman" w:hAnsi="Times New Roman" w:cs="Times New Roman"/>
          <w:color w:val="000000"/>
        </w:rPr>
        <w:t xml:space="preserve"> en –</w:t>
      </w:r>
    </w:p>
    <w:p w:rsidR="006234D3" w:rsidRPr="00E343F9" w:rsidRDefault="00A72756" w:rsidP="00A72756">
      <w:pPr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lasten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</w:rPr>
        <w:t>uitgegeven</w:t>
      </w:r>
      <w:proofErr w:type="spellEnd"/>
      <w:r>
        <w:rPr>
          <w:rFonts w:ascii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</w:rPr>
        <w:t>ontvangen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leningen</w:t>
      </w:r>
      <w:proofErr w:type="spellEnd"/>
      <w:r>
        <w:rPr>
          <w:rFonts w:ascii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</w:rPr>
        <w:t>banktegoeden</w:t>
      </w:r>
      <w:proofErr w:type="spellEnd"/>
      <w:r>
        <w:rPr>
          <w:rFonts w:ascii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</w:rPr>
        <w:t>schulden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kredietinstellingen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E343F9">
        <w:rPr>
          <w:rFonts w:ascii="Times New Roman" w:hAnsi="Times New Roman" w:cs="Times New Roman"/>
          <w:color w:val="000000"/>
        </w:rPr>
        <w:t xml:space="preserve"> 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Toelichting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op 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waarde</w:t>
      </w:r>
      <w:proofErr w:type="spellEnd"/>
      <w:r>
        <w:rPr>
          <w:rFonts w:ascii="Times New Roman" w:hAnsi="Times New Roman" w:cs="Times New Roman"/>
          <w:color w:val="000000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</w:rPr>
        <w:t>materiële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vaste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activa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r w:rsidR="00E343F9">
        <w:rPr>
          <w:rFonts w:ascii="Times New Roman" w:hAnsi="Times New Roman" w:cs="Times New Roman"/>
          <w:color w:val="000000"/>
        </w:rPr>
        <w:t>in 2013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getaxeerd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o.a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in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verband</w:t>
      </w:r>
      <w:proofErr w:type="spellEnd"/>
      <w:r>
        <w:rPr>
          <w:rFonts w:ascii="Times New Roman" w:hAnsi="Times New Roman" w:cs="Times New Roman"/>
          <w:color w:val="000000"/>
        </w:rPr>
        <w:t xml:space="preserve"> met de </w:t>
      </w:r>
      <w:proofErr w:type="spellStart"/>
      <w:r>
        <w:rPr>
          <w:rFonts w:ascii="Times New Roman" w:hAnsi="Times New Roman" w:cs="Times New Roman"/>
          <w:color w:val="000000"/>
        </w:rPr>
        <w:t>verbouwing</w:t>
      </w:r>
      <w:proofErr w:type="spellEnd"/>
      <w:r>
        <w:rPr>
          <w:rFonts w:ascii="Times New Roman" w:hAnsi="Times New Roman" w:cs="Times New Roman"/>
          <w:color w:val="000000"/>
        </w:rPr>
        <w:t xml:space="preserve"> van</w:t>
      </w:r>
    </w:p>
    <w:p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 xml:space="preserve">het westelijk </w:t>
      </w:r>
      <w:proofErr w:type="spellStart"/>
      <w:r w:rsidRPr="005C790E">
        <w:rPr>
          <w:rFonts w:ascii="Times New Roman" w:hAnsi="Times New Roman" w:cs="Times New Roman"/>
          <w:color w:val="000000"/>
          <w:lang w:val="nl-NL"/>
        </w:rPr>
        <w:t>bouwhuis</w:t>
      </w:r>
      <w:proofErr w:type="spellEnd"/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9D6E66">
        <w:rPr>
          <w:rFonts w:ascii="Times New Roman" w:hAnsi="Times New Roman" w:cs="Times New Roman"/>
          <w:color w:val="000000"/>
          <w:lang w:val="nl-NL"/>
        </w:rPr>
        <w:t xml:space="preserve">Op de in het vorige financieel jaarverslag </w:t>
      </w:r>
      <w:r>
        <w:rPr>
          <w:rFonts w:ascii="Times New Roman" w:hAnsi="Times New Roman" w:cs="Times New Roman"/>
          <w:color w:val="000000"/>
          <w:lang w:val="nl-NL"/>
        </w:rPr>
        <w:t xml:space="preserve">genoemde hypotheken, alsmede op de </w:t>
      </w:r>
      <w:r w:rsidR="008438C4">
        <w:rPr>
          <w:rFonts w:ascii="Times New Roman" w:hAnsi="Times New Roman" w:cs="Times New Roman"/>
          <w:color w:val="000000"/>
          <w:lang w:val="nl-NL"/>
        </w:rPr>
        <w:t xml:space="preserve">bestaande </w:t>
      </w:r>
      <w:r>
        <w:rPr>
          <w:rFonts w:ascii="Times New Roman" w:hAnsi="Times New Roman" w:cs="Times New Roman"/>
          <w:color w:val="000000"/>
          <w:lang w:val="nl-NL"/>
        </w:rPr>
        <w:t>aflossingvrije hypotheek</w:t>
      </w:r>
      <w:r w:rsidR="008438C4">
        <w:rPr>
          <w:rFonts w:ascii="Times New Roman" w:hAnsi="Times New Roman" w:cs="Times New Roman"/>
          <w:color w:val="000000"/>
          <w:lang w:val="nl-NL"/>
        </w:rPr>
        <w:t>, allen afgesloten bij het Nationaal Restauratiefonds,</w:t>
      </w:r>
      <w:r>
        <w:rPr>
          <w:rFonts w:ascii="Times New Roman" w:hAnsi="Times New Roman" w:cs="Times New Roman"/>
          <w:color w:val="000000"/>
          <w:lang w:val="nl-NL"/>
        </w:rPr>
        <w:t xml:space="preserve"> zijn </w:t>
      </w:r>
      <w:r w:rsidR="00B1252E">
        <w:rPr>
          <w:rFonts w:ascii="Times New Roman" w:hAnsi="Times New Roman" w:cs="Times New Roman"/>
          <w:color w:val="000000"/>
          <w:lang w:val="nl-NL"/>
        </w:rPr>
        <w:t xml:space="preserve">geen </w:t>
      </w:r>
      <w:r>
        <w:rPr>
          <w:rFonts w:ascii="Times New Roman" w:hAnsi="Times New Roman" w:cs="Times New Roman"/>
          <w:color w:val="000000"/>
          <w:lang w:val="nl-NL"/>
        </w:rPr>
        <w:t>extra aflossingen verricht. Een overz</w:t>
      </w:r>
      <w:r w:rsidR="00E343F9">
        <w:rPr>
          <w:rFonts w:ascii="Times New Roman" w:hAnsi="Times New Roman" w:cs="Times New Roman"/>
          <w:color w:val="000000"/>
          <w:lang w:val="nl-NL"/>
        </w:rPr>
        <w:t xml:space="preserve">icht van de mutaties die in </w:t>
      </w:r>
      <w:r w:rsidR="0018644E">
        <w:rPr>
          <w:rFonts w:ascii="Times New Roman" w:hAnsi="Times New Roman" w:cs="Times New Roman"/>
          <w:color w:val="000000"/>
          <w:lang w:val="nl-NL"/>
        </w:rPr>
        <w:t>2016</w:t>
      </w:r>
      <w:r>
        <w:rPr>
          <w:rFonts w:ascii="Times New Roman" w:hAnsi="Times New Roman" w:cs="Times New Roman"/>
          <w:color w:val="000000"/>
          <w:lang w:val="nl-NL"/>
        </w:rPr>
        <w:t xml:space="preserve"> hebben plaatsgevonden is hieronder weergegeven: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>
        <w:trPr>
          <w:cnfStyle w:val="100000000000"/>
        </w:trPr>
        <w:tc>
          <w:tcPr>
            <w:cnfStyle w:val="001000000000"/>
            <w:tcW w:w="1101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18644E">
              <w:rPr>
                <w:rFonts w:cstheme="minorHAnsi"/>
                <w:color w:val="000000"/>
                <w:sz w:val="16"/>
                <w:szCs w:val="16"/>
                <w:lang w:val="nl-NL"/>
              </w:rPr>
              <w:t>2015</w:t>
            </w:r>
          </w:p>
        </w:tc>
        <w:tc>
          <w:tcPr>
            <w:tcW w:w="141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18644E">
              <w:rPr>
                <w:rFonts w:cstheme="minorHAnsi"/>
                <w:color w:val="000000"/>
                <w:sz w:val="16"/>
                <w:szCs w:val="16"/>
                <w:lang w:val="nl-NL"/>
              </w:rPr>
              <w:t>2016</w:t>
            </w:r>
          </w:p>
        </w:tc>
        <w:tc>
          <w:tcPr>
            <w:tcW w:w="1417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18644E">
              <w:rPr>
                <w:rFonts w:cstheme="minorHAnsi"/>
                <w:color w:val="000000"/>
                <w:sz w:val="16"/>
                <w:szCs w:val="16"/>
                <w:lang w:val="nl-NL"/>
              </w:rPr>
              <w:t>2016</w:t>
            </w:r>
          </w:p>
        </w:tc>
        <w:tc>
          <w:tcPr>
            <w:tcW w:w="1162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18644E">
              <w:rPr>
                <w:rFonts w:cstheme="minorHAnsi"/>
                <w:color w:val="000000"/>
                <w:sz w:val="16"/>
                <w:szCs w:val="16"/>
                <w:lang w:val="nl-NL"/>
              </w:rPr>
              <w:t>2016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:rsidR="00076766" w:rsidRPr="005C790E" w:rsidRDefault="00B1252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,70</w:t>
            </w:r>
          </w:p>
        </w:tc>
        <w:tc>
          <w:tcPr>
            <w:tcW w:w="1418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  <w:tc>
          <w:tcPr>
            <w:tcW w:w="1162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95,70</w:t>
            </w:r>
          </w:p>
        </w:tc>
      </w:tr>
      <w:tr w:rsidR="005C790E" w:rsidRPr="005C790E"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HW6A restauratie, </w:t>
            </w:r>
            <w:proofErr w:type="spellStart"/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annuiteïten</w:t>
            </w:r>
            <w:proofErr w:type="spellEnd"/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€ 31.961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03</w:t>
            </w:r>
          </w:p>
        </w:tc>
        <w:tc>
          <w:tcPr>
            <w:tcW w:w="1418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€ 976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54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€ 30.984,49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3,1</w:t>
            </w:r>
          </w:p>
        </w:tc>
        <w:tc>
          <w:tcPr>
            <w:tcW w:w="1134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€ 274.088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97</w:t>
            </w:r>
          </w:p>
        </w:tc>
        <w:tc>
          <w:tcPr>
            <w:tcW w:w="1418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€ 4.256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88</w:t>
            </w:r>
          </w:p>
        </w:tc>
        <w:tc>
          <w:tcPr>
            <w:tcW w:w="1417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€ 169.832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09</w:t>
            </w:r>
          </w:p>
        </w:tc>
      </w:tr>
      <w:tr w:rsidR="005C790E" w:rsidRPr="005C790E">
        <w:tc>
          <w:tcPr>
            <w:tcW w:w="1101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cnfStyle w:val="001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€ 219.545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70</w:t>
            </w:r>
          </w:p>
        </w:tc>
        <w:tc>
          <w:tcPr>
            <w:tcW w:w="1418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€ 5.233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42</w:t>
            </w:r>
          </w:p>
        </w:tc>
        <w:tc>
          <w:tcPr>
            <w:tcW w:w="1417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€ 0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€ 214.312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28</w:t>
            </w:r>
          </w:p>
        </w:tc>
      </w:tr>
    </w:tbl>
    <w:p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 xml:space="preserve">De zekerstellingen tegenover deze hypothecaire leningen zijn in de </w:t>
      </w:r>
      <w:proofErr w:type="spellStart"/>
      <w:r w:rsidRPr="008438C4">
        <w:rPr>
          <w:rFonts w:ascii="Times New Roman" w:hAnsi="Times New Roman" w:cs="Times New Roman"/>
          <w:color w:val="000000"/>
          <w:lang w:val="nl-NL"/>
        </w:rPr>
        <w:t>hypotheek-acte</w:t>
      </w:r>
      <w:proofErr w:type="spellEnd"/>
      <w:r w:rsidRPr="008438C4">
        <w:rPr>
          <w:rFonts w:ascii="Times New Roman" w:hAnsi="Times New Roman" w:cs="Times New Roman"/>
          <w:color w:val="000000"/>
          <w:lang w:val="nl-NL"/>
        </w:rPr>
        <w:t xml:space="preserve"> omschreven als: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>
        <w:rPr>
          <w:rFonts w:ascii="Arial" w:hAnsi="Arial" w:cs="Arial"/>
          <w:color w:val="000002"/>
          <w:sz w:val="20"/>
          <w:szCs w:val="20"/>
        </w:rPr>
        <w:t xml:space="preserve">722 JP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>,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proofErr w:type="spellStart"/>
      <w:r>
        <w:rPr>
          <w:rFonts w:ascii="Arial" w:hAnsi="Arial" w:cs="Arial"/>
          <w:color w:val="000002"/>
          <w:sz w:val="20"/>
          <w:szCs w:val="20"/>
        </w:rPr>
        <w:t>Heinoseweg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 xml:space="preserve">2 A en 6,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kadastraal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bekend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gemeente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sectie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H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nummer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1545, </w:t>
      </w:r>
      <w:proofErr w:type="spellStart"/>
      <w:proofErr w:type="gramStart"/>
      <w:r>
        <w:rPr>
          <w:rFonts w:ascii="Arial" w:hAnsi="Arial" w:cs="Arial"/>
          <w:color w:val="000002"/>
          <w:sz w:val="20"/>
          <w:szCs w:val="20"/>
        </w:rPr>
        <w:t>groot</w:t>
      </w:r>
      <w:proofErr w:type="spellEnd"/>
      <w:proofErr w:type="gram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één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2"/>
          <w:sz w:val="20"/>
          <w:szCs w:val="20"/>
        </w:rPr>
        <w:t>hectare</w:t>
      </w:r>
      <w:proofErr w:type="gram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negenendertig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zestig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centiare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het </w:t>
      </w:r>
      <w:proofErr w:type="spellStart"/>
      <w:r>
        <w:rPr>
          <w:rFonts w:ascii="Times New Roman" w:hAnsi="Times New Roman" w:cs="Times New Roman"/>
          <w:color w:val="000000"/>
        </w:rPr>
        <w:t>saldo</w:t>
      </w:r>
      <w:proofErr w:type="spellEnd"/>
      <w:r>
        <w:rPr>
          <w:rFonts w:ascii="Times New Roman" w:hAnsi="Times New Roman" w:cs="Times New Roman"/>
          <w:color w:val="000000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</w:rPr>
        <w:t>baten</w:t>
      </w:r>
      <w:proofErr w:type="spellEnd"/>
      <w:r>
        <w:rPr>
          <w:rFonts w:ascii="Times New Roman" w:hAnsi="Times New Roman" w:cs="Times New Roman"/>
          <w:color w:val="000000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 is, </w:t>
      </w:r>
      <w:proofErr w:type="spellStart"/>
      <w:r>
        <w:rPr>
          <w:rFonts w:ascii="Times New Roman" w:hAnsi="Times New Roman" w:cs="Times New Roman"/>
          <w:color w:val="000000"/>
        </w:rPr>
        <w:t>evenals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bij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</w:rPr>
        <w:t>vorige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jaarrekening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</w:rPr>
        <w:t>gebeurd</w:t>
      </w:r>
      <w:proofErr w:type="spellEnd"/>
      <w:r>
        <w:rPr>
          <w:rFonts w:ascii="Times New Roman" w:hAnsi="Times New Roman" w:cs="Times New Roman"/>
          <w:color w:val="000000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</w:rPr>
        <w:t>koerswinst</w:t>
      </w:r>
      <w:proofErr w:type="spellEnd"/>
      <w:r>
        <w:rPr>
          <w:rFonts w:ascii="Times New Roman" w:hAnsi="Times New Roman" w:cs="Times New Roman"/>
          <w:color w:val="000000"/>
        </w:rPr>
        <w:t xml:space="preserve"> op</w:t>
      </w:r>
    </w:p>
    <w:p w:rsidR="00A72756" w:rsidRPr="00753A2B" w:rsidRDefault="00A72756" w:rsidP="003735E1">
      <w:pPr>
        <w:rPr>
          <w:lang w:val="nl-NL"/>
        </w:rPr>
      </w:pPr>
      <w:proofErr w:type="gramStart"/>
      <w:r>
        <w:rPr>
          <w:rFonts w:ascii="Times New Roman" w:hAnsi="Times New Roman" w:cs="Times New Roman"/>
          <w:color w:val="000000"/>
        </w:rPr>
        <w:t>de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effecten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meegenomen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18644E">
        <w:rPr>
          <w:rFonts w:ascii="Times New Roman" w:hAnsi="Times New Roman" w:cs="Times New Roman"/>
          <w:color w:val="000000"/>
          <w:lang w:val="nl-NL"/>
        </w:rPr>
        <w:t>2016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3735E1">
        <w:rPr>
          <w:rFonts w:ascii="Times New Roman" w:hAnsi="Times New Roman" w:cs="Times New Roman"/>
          <w:color w:val="000000"/>
          <w:lang w:val="nl-NL"/>
        </w:rPr>
        <w:t>substantiële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koersstijging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plaatsgevonden.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Bestemming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voordelig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saldo</w:t>
      </w:r>
      <w:proofErr w:type="spellEnd"/>
    </w:p>
    <w:p w:rsidR="00A72756" w:rsidRPr="00753A2B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753A2B">
        <w:rPr>
          <w:rFonts w:ascii="Times New Roman" w:hAnsi="Times New Roman" w:cs="Times New Roman"/>
          <w:color w:val="000000"/>
          <w:lang w:val="nl-NL"/>
        </w:rPr>
        <w:t>Het voor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>delig sal</w:t>
      </w:r>
      <w:r w:rsidR="00753A2B">
        <w:rPr>
          <w:rFonts w:ascii="Times New Roman" w:hAnsi="Times New Roman" w:cs="Times New Roman"/>
          <w:color w:val="000000"/>
          <w:lang w:val="nl-NL"/>
        </w:rPr>
        <w:t xml:space="preserve">do ter waarde van € </w:t>
      </w:r>
      <w:r w:rsidR="00B1252E">
        <w:rPr>
          <w:rFonts w:ascii="Times New Roman" w:hAnsi="Times New Roman" w:cs="Times New Roman"/>
          <w:color w:val="000000"/>
          <w:lang w:val="nl-NL"/>
        </w:rPr>
        <w:t>90</w:t>
      </w:r>
      <w:r w:rsidR="008438C4">
        <w:rPr>
          <w:rFonts w:ascii="Times New Roman" w:hAnsi="Times New Roman" w:cs="Times New Roman"/>
          <w:color w:val="000000"/>
          <w:lang w:val="nl-NL"/>
        </w:rPr>
        <w:t>.</w:t>
      </w:r>
      <w:r w:rsidR="00B1252E">
        <w:rPr>
          <w:rFonts w:ascii="Times New Roman" w:hAnsi="Times New Roman" w:cs="Times New Roman"/>
          <w:color w:val="000000"/>
          <w:lang w:val="nl-NL"/>
        </w:rPr>
        <w:t>543,-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is overgebracht naar de overige reserves van het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stichtingskapitaal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benut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voor</w:t>
      </w:r>
      <w:proofErr w:type="spellEnd"/>
      <w:r>
        <w:rPr>
          <w:rFonts w:ascii="Times New Roman" w:hAnsi="Times New Roman" w:cs="Times New Roman"/>
          <w:color w:val="000000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</w:rPr>
        <w:t>aflossen</w:t>
      </w:r>
      <w:proofErr w:type="spellEnd"/>
      <w:r>
        <w:rPr>
          <w:rFonts w:ascii="Times New Roman" w:hAnsi="Times New Roman" w:cs="Times New Roman"/>
          <w:color w:val="000000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</w:rPr>
        <w:t>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gedeelte</w:t>
      </w:r>
      <w:proofErr w:type="spellEnd"/>
      <w:r>
        <w:rPr>
          <w:rFonts w:ascii="Times New Roman" w:hAnsi="Times New Roman" w:cs="Times New Roman"/>
          <w:color w:val="000000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</w:rPr>
        <w:t>hypothecaire</w:t>
      </w:r>
      <w:proofErr w:type="spellEnd"/>
    </w:p>
    <w:p w:rsidR="006234D3" w:rsidRDefault="00A72756" w:rsidP="00A72756">
      <w:proofErr w:type="spellStart"/>
      <w:proofErr w:type="gramStart"/>
      <w:r>
        <w:rPr>
          <w:rFonts w:ascii="Times New Roman" w:hAnsi="Times New Roman" w:cs="Times New Roman"/>
          <w:color w:val="000000"/>
        </w:rPr>
        <w:t>leningen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.</w:t>
      </w:r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3735E1">
        <w:rPr>
          <w:rFonts w:ascii="Times New Roman" w:hAnsi="Times New Roman" w:cs="Times New Roman"/>
          <w:color w:val="000000"/>
        </w:rPr>
        <w:t>ander</w:t>
      </w:r>
      <w:proofErr w:type="spellEnd"/>
      <w:proofErr w:type="gram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deel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3735E1">
        <w:rPr>
          <w:rFonts w:ascii="Times New Roman" w:hAnsi="Times New Roman" w:cs="Times New Roman"/>
          <w:color w:val="000000"/>
        </w:rPr>
        <w:t>gereserveerd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voor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geplande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verbouwing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van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van de </w:t>
      </w:r>
      <w:proofErr w:type="spellStart"/>
      <w:r w:rsidR="003735E1">
        <w:rPr>
          <w:rFonts w:ascii="Times New Roman" w:hAnsi="Times New Roman" w:cs="Times New Roman"/>
          <w:color w:val="000000"/>
        </w:rPr>
        <w:t>schuren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tot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vergader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- en </w:t>
      </w:r>
      <w:proofErr w:type="spellStart"/>
      <w:r w:rsidR="003735E1">
        <w:rPr>
          <w:rFonts w:ascii="Times New Roman" w:hAnsi="Times New Roman" w:cs="Times New Roman"/>
          <w:color w:val="000000"/>
        </w:rPr>
        <w:t>tentoonstellingsruimte</w:t>
      </w:r>
      <w:proofErr w:type="spellEnd"/>
      <w:r w:rsidR="003735E1">
        <w:rPr>
          <w:rFonts w:ascii="Times New Roman" w:hAnsi="Times New Roman" w:cs="Times New Roman"/>
          <w:color w:val="000000"/>
        </w:rPr>
        <w:t>.</w:t>
      </w:r>
    </w:p>
    <w:sectPr w:rsidR="006234D3" w:rsidSect="00A351AE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DF188D"/>
    <w:rsid w:val="00076766"/>
    <w:rsid w:val="000E30BF"/>
    <w:rsid w:val="00132451"/>
    <w:rsid w:val="0018644E"/>
    <w:rsid w:val="003157BB"/>
    <w:rsid w:val="003735E1"/>
    <w:rsid w:val="00381BFA"/>
    <w:rsid w:val="003E2968"/>
    <w:rsid w:val="005C790E"/>
    <w:rsid w:val="006234D3"/>
    <w:rsid w:val="00655A9E"/>
    <w:rsid w:val="00657052"/>
    <w:rsid w:val="00670839"/>
    <w:rsid w:val="006B2E48"/>
    <w:rsid w:val="00753A2B"/>
    <w:rsid w:val="008438C4"/>
    <w:rsid w:val="008713FE"/>
    <w:rsid w:val="00942182"/>
    <w:rsid w:val="009D6E66"/>
    <w:rsid w:val="00A24B4D"/>
    <w:rsid w:val="00A351AE"/>
    <w:rsid w:val="00A72756"/>
    <w:rsid w:val="00AE448A"/>
    <w:rsid w:val="00B1252E"/>
    <w:rsid w:val="00B659CD"/>
    <w:rsid w:val="00C75036"/>
    <w:rsid w:val="00D81DCC"/>
    <w:rsid w:val="00DF188D"/>
    <w:rsid w:val="00E343F9"/>
    <w:rsid w:val="00ED1262"/>
    <w:rsid w:val="00FD331B"/>
    <w:rsid w:val="00FF4E7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3245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519</Words>
  <Characters>2962</Characters>
  <Application>Microsoft Macintosh Word</Application>
  <DocSecurity>0</DocSecurity>
  <Lines>24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16</cp:revision>
  <dcterms:created xsi:type="dcterms:W3CDTF">2016-05-09T08:10:00Z</dcterms:created>
  <dcterms:modified xsi:type="dcterms:W3CDTF">2017-06-05T12:34:00Z</dcterms:modified>
</cp:coreProperties>
</file>