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Jaarverslag 201</w:t>
      </w:r>
      <w:bookmarkStart w:id="0" w:name="_GoBack"/>
      <w:bookmarkEnd w:id="0"/>
      <w:r w:rsidR="00E343F9">
        <w:rPr>
          <w:rFonts w:ascii="Cambria,Bold" w:hAnsi="Cambria,Bold" w:cs="Cambria,Bold"/>
          <w:b/>
          <w:bCs/>
          <w:sz w:val="26"/>
          <w:szCs w:val="26"/>
          <w:lang w:val="nl-NL"/>
        </w:rPr>
        <w:t>5</w:t>
      </w:r>
    </w:p>
    <w:p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De Balans</w:t>
      </w:r>
    </w:p>
    <w:tbl>
      <w:tblPr>
        <w:tblStyle w:val="Lichtearcering-accent1"/>
        <w:tblW w:w="8140" w:type="dxa"/>
        <w:tblLook w:val="04A0"/>
      </w:tblPr>
      <w:tblGrid>
        <w:gridCol w:w="2518"/>
        <w:gridCol w:w="1422"/>
        <w:gridCol w:w="2547"/>
        <w:gridCol w:w="1653"/>
      </w:tblGrid>
      <w:tr w:rsidR="006234D3" w:rsidRPr="006234D3">
        <w:trPr>
          <w:cnfStyle w:val="1000000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:rsidR="006234D3" w:rsidRPr="008713FE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</w:t>
            </w:r>
            <w:r w:rsidR="00E343F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5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8713FE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</w:t>
            </w:r>
            <w:r w:rsidR="00E343F9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5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 Activa</w:t>
            </w: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 vaste activa</w:t>
            </w:r>
          </w:p>
        </w:tc>
        <w:tc>
          <w:tcPr>
            <w:tcW w:w="1422" w:type="dxa"/>
            <w:noWrap/>
          </w:tcPr>
          <w:p w:rsidR="006234D3" w:rsidRPr="006234D3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€ 6.960.329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 reserves</w:t>
            </w:r>
          </w:p>
        </w:tc>
        <w:tc>
          <w:tcPr>
            <w:tcW w:w="1653" w:type="dxa"/>
            <w:noWrap/>
          </w:tcPr>
          <w:p w:rsidR="006234D3" w:rsidRPr="006234D3" w:rsidRDefault="00E343F9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202.271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 vaste activa</w:t>
            </w:r>
          </w:p>
        </w:tc>
        <w:tc>
          <w:tcPr>
            <w:tcW w:w="1422" w:type="dxa"/>
            <w:noWrap/>
          </w:tcPr>
          <w:p w:rsidR="006234D3" w:rsidRPr="006234D3" w:rsidRDefault="00753A2B" w:rsidP="00E343F9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E343F9">
              <w:rPr>
                <w:rFonts w:ascii="Calibri" w:eastAsia="Times New Roman" w:hAnsi="Calibri" w:cs="Times New Roman"/>
                <w:color w:val="000000"/>
                <w:lang w:eastAsia="nl-NL"/>
              </w:rPr>
              <w:t>622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E343F9">
              <w:rPr>
                <w:rFonts w:ascii="Calibri" w:eastAsia="Times New Roman" w:hAnsi="Calibri" w:cs="Times New Roman"/>
                <w:color w:val="000000"/>
                <w:lang w:eastAsia="nl-NL"/>
              </w:rPr>
              <w:t>361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 voorzieningen</w:t>
            </w: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€ 341.330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 activa</w:t>
            </w: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</w:p>
        </w:tc>
        <w:tc>
          <w:tcPr>
            <w:tcW w:w="1422" w:type="dxa"/>
            <w:noWrap/>
          </w:tcPr>
          <w:p w:rsidR="006234D3" w:rsidRPr="006234D3" w:rsidRDefault="00E343F9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€ 3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877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 schulden</w:t>
            </w:r>
          </w:p>
        </w:tc>
        <w:tc>
          <w:tcPr>
            <w:tcW w:w="1653" w:type="dxa"/>
            <w:noWrap/>
          </w:tcPr>
          <w:p w:rsidR="006234D3" w:rsidRPr="006234D3" w:rsidRDefault="00E343F9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€ 223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646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Liquide midddelen</w:t>
            </w:r>
          </w:p>
        </w:tc>
        <w:tc>
          <w:tcPr>
            <w:tcW w:w="1422" w:type="dxa"/>
            <w:noWrap/>
          </w:tcPr>
          <w:p w:rsidR="006234D3" w:rsidRPr="006234D3" w:rsidRDefault="00E343F9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€ 186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686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 schulden</w:t>
            </w:r>
          </w:p>
        </w:tc>
        <w:tc>
          <w:tcPr>
            <w:tcW w:w="1653" w:type="dxa"/>
            <w:noWrap/>
          </w:tcPr>
          <w:p w:rsidR="006234D3" w:rsidRPr="006234D3" w:rsidRDefault="0094218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E343F9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E343F9">
              <w:rPr>
                <w:rFonts w:ascii="Calibri" w:eastAsia="Times New Roman" w:hAnsi="Calibri" w:cs="Times New Roman"/>
                <w:color w:val="000000"/>
                <w:lang w:eastAsia="nl-NL"/>
              </w:rPr>
              <w:t>007</w:t>
            </w:r>
          </w:p>
        </w:tc>
      </w:tr>
      <w:tr w:rsidR="006234D3" w:rsidRPr="00657052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422" w:type="dxa"/>
            <w:noWrap/>
          </w:tcPr>
          <w:p w:rsidR="006234D3" w:rsidRPr="00657052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€ 7.</w:t>
            </w:r>
            <w:r w:rsidR="00E343F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773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E343F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253</w:t>
            </w:r>
          </w:p>
        </w:tc>
        <w:tc>
          <w:tcPr>
            <w:tcW w:w="2547" w:type="dxa"/>
            <w:noWrap/>
          </w:tcPr>
          <w:p w:rsidR="006234D3" w:rsidRPr="00657052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:rsidR="006234D3" w:rsidRPr="00657052" w:rsidRDefault="0094218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E343F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7.773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E343F9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253</w:t>
            </w:r>
          </w:p>
        </w:tc>
      </w:tr>
    </w:tbl>
    <w:p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/>
      </w:tblPr>
      <w:tblGrid>
        <w:gridCol w:w="3840"/>
        <w:gridCol w:w="1780"/>
      </w:tblGrid>
      <w:tr w:rsidR="006234D3" w:rsidRPr="00657052">
        <w:trPr>
          <w:cnfStyle w:val="1000000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:rsidR="006234D3" w:rsidRPr="008713FE" w:rsidRDefault="00657052" w:rsidP="00076766">
            <w:pPr>
              <w:jc w:val="right"/>
              <w:cnfStyle w:val="10000000000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201</w:t>
            </w:r>
            <w:r w:rsidR="00E343F9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5</w:t>
            </w:r>
          </w:p>
        </w:tc>
      </w:tr>
      <w:tr w:rsidR="00E343F9" w:rsidRPr="00657052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E343F9" w:rsidRPr="008713FE" w:rsidRDefault="00E343F9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Bijzondere bate</w:t>
            </w:r>
          </w:p>
        </w:tc>
        <w:tc>
          <w:tcPr>
            <w:tcW w:w="1780" w:type="dxa"/>
            <w:noWrap/>
          </w:tcPr>
          <w:p w:rsidR="00E343F9" w:rsidRPr="00657052" w:rsidRDefault="00E343F9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€ 200.000</w:t>
            </w:r>
          </w:p>
        </w:tc>
      </w:tr>
      <w:tr w:rsidR="00E343F9" w:rsidRPr="00657052">
        <w:trPr>
          <w:trHeight w:val="300"/>
        </w:trPr>
        <w:tc>
          <w:tcPr>
            <w:cnfStyle w:val="001000000000"/>
            <w:tcW w:w="3840" w:type="dxa"/>
            <w:noWrap/>
          </w:tcPr>
          <w:p w:rsidR="00E343F9" w:rsidRPr="008713FE" w:rsidRDefault="00E343F9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:rsidR="00E343F9" w:rsidRPr="00657052" w:rsidRDefault="00E343F9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€ 27.425</w:t>
            </w:r>
          </w:p>
        </w:tc>
      </w:tr>
      <w:tr w:rsidR="006234D3" w:rsidRPr="008713FE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E343F9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:rsidR="006234D3" w:rsidRPr="008713FE" w:rsidRDefault="00E343F9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€ 709</w:t>
            </w:r>
          </w:p>
        </w:tc>
      </w:tr>
      <w:tr w:rsidR="00E343F9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E343F9" w:rsidRPr="008713FE" w:rsidRDefault="00E343F9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 Woningen</w:t>
            </w: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€ 90.861</w:t>
            </w:r>
          </w:p>
        </w:tc>
      </w:tr>
      <w:tr w:rsidR="00E343F9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E343F9" w:rsidRPr="008713FE" w:rsidRDefault="00E343F9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 Vermogensbeheer</w:t>
            </w: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€ 28.079</w:t>
            </w:r>
          </w:p>
        </w:tc>
      </w:tr>
      <w:tr w:rsidR="00E343F9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E343F9" w:rsidRPr="008713FE" w:rsidRDefault="00E343F9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Subsidies en Bijdragen</w:t>
            </w: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€ 58.170</w:t>
            </w:r>
          </w:p>
        </w:tc>
      </w:tr>
      <w:tr w:rsidR="00E343F9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E343F9" w:rsidRPr="006234D3" w:rsidRDefault="00E343F9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780" w:type="dxa"/>
            <w:noWrap/>
          </w:tcPr>
          <w:p w:rsidR="00E343F9" w:rsidRPr="008713FE" w:rsidRDefault="00E343F9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€ 405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244</w:t>
            </w:r>
          </w:p>
        </w:tc>
      </w:tr>
      <w:tr w:rsidR="00E343F9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E343F9" w:rsidRPr="006234D3" w:rsidRDefault="00E343F9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E343F9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E343F9" w:rsidRPr="006234D3" w:rsidRDefault="00E343F9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E343F9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E343F9" w:rsidRPr="008713FE" w:rsidRDefault="00E343F9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 en Onderhoudskosten</w:t>
            </w: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€ 60.349</w:t>
            </w:r>
          </w:p>
        </w:tc>
      </w:tr>
      <w:tr w:rsidR="00E343F9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E343F9" w:rsidRPr="008713FE" w:rsidRDefault="00E343F9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 incl rentmeesterskosten</w:t>
            </w: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€ 29.441</w:t>
            </w:r>
          </w:p>
        </w:tc>
      </w:tr>
      <w:tr w:rsidR="00E343F9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E343F9" w:rsidRPr="008713FE" w:rsidRDefault="00E343F9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€ 39.592</w:t>
            </w:r>
          </w:p>
        </w:tc>
      </w:tr>
      <w:tr w:rsidR="00E343F9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E343F9" w:rsidRPr="008713FE" w:rsidRDefault="00E343F9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 Vermogensbeheer</w:t>
            </w: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€ 23.995</w:t>
            </w:r>
          </w:p>
        </w:tc>
      </w:tr>
      <w:tr w:rsidR="00E343F9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E343F9" w:rsidRPr="006234D3" w:rsidRDefault="00E343F9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780" w:type="dxa"/>
            <w:noWrap/>
          </w:tcPr>
          <w:p w:rsidR="00E343F9" w:rsidRPr="008713FE" w:rsidRDefault="00E343F9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€ 153</w:t>
            </w:r>
            <w:r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377</w:t>
            </w:r>
          </w:p>
        </w:tc>
      </w:tr>
      <w:tr w:rsidR="00E343F9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E343F9" w:rsidRPr="006234D3" w:rsidRDefault="00E343F9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:rsidR="00E343F9" w:rsidRPr="006234D3" w:rsidRDefault="00E343F9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E343F9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E343F9" w:rsidRPr="006234D3" w:rsidRDefault="00E343F9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</w:p>
        </w:tc>
        <w:tc>
          <w:tcPr>
            <w:tcW w:w="1780" w:type="dxa"/>
            <w:noWrap/>
          </w:tcPr>
          <w:p w:rsidR="00E343F9" w:rsidRPr="008713FE" w:rsidRDefault="00E343F9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€ 251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868</w:t>
            </w:r>
          </w:p>
        </w:tc>
      </w:tr>
      <w:tr w:rsidR="00E343F9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E343F9" w:rsidRPr="006234D3" w:rsidRDefault="00E343F9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:rsidR="00E343F9" w:rsidRPr="008713FE" w:rsidRDefault="00E343F9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</w:p>
        </w:tc>
      </w:tr>
    </w:tbl>
    <w:p w:rsidR="000E30BF" w:rsidRDefault="000E30BF" w:rsidP="00DF188D"/>
    <w:p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</w:p>
    <w:p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Grondslagen voor resultaatbepaling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Onder baten wordt verstaan de opbrengst van de in het verslagjaar geleverde diensten onder aftrek van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kortingen.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Het resultaat wordt bepaald als het verschil tussen de baten en alle hiermee verbonden lasten en andere</w:t>
      </w:r>
    </w:p>
    <w:p w:rsidR="00A72756" w:rsidRDefault="00A72756" w:rsidP="00C7503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aan het verslagjaar toe te rekenen lasten. 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Afschrijvingen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afschrijvingspercentages bedragen voor: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Opstallen: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Cultuurgronden: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Bos, park, tuin &amp; water: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Inventaris: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Financiele baten en lasten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rentebaten en –lasten betreffen de op de verslagperiode betrekking hebbende renteopbrengsten en –</w:t>
      </w:r>
    </w:p>
    <w:p w:rsidR="006234D3" w:rsidRPr="00E343F9" w:rsidRDefault="00A72756" w:rsidP="00A7275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lasten van uitgegeven en ontvangen leningen en banktegoeden en schulden aan kredietinstellingen.</w:t>
      </w:r>
      <w:r w:rsidR="00E343F9">
        <w:rPr>
          <w:rFonts w:ascii="Times New Roman" w:hAnsi="Times New Roman" w:cs="Times New Roman"/>
          <w:color w:val="000000"/>
        </w:rPr>
        <w:t xml:space="preserve"> De bijzondere bate ter waarde van </w:t>
      </w:r>
      <w:r w:rsidR="00E343F9">
        <w:rPr>
          <w:rFonts w:ascii="Times New Roman" w:hAnsi="Times New Roman" w:cs="Times New Roman"/>
          <w:color w:val="000000"/>
          <w:lang w:val="nl-NL"/>
        </w:rPr>
        <w:t>€</w:t>
      </w:r>
      <w:r w:rsidR="00E343F9">
        <w:rPr>
          <w:rFonts w:ascii="Times New Roman" w:hAnsi="Times New Roman" w:cs="Times New Roman"/>
          <w:color w:val="000000"/>
        </w:rPr>
        <w:t xml:space="preserve"> 200.000</w:t>
      </w:r>
      <w:r w:rsidRPr="00E343F9">
        <w:rPr>
          <w:rFonts w:ascii="Times New Roman" w:hAnsi="Times New Roman" w:cs="Times New Roman"/>
          <w:color w:val="000000"/>
        </w:rPr>
        <w:t xml:space="preserve"> </w:t>
      </w:r>
      <w:r w:rsidR="00E343F9" w:rsidRPr="00E343F9">
        <w:rPr>
          <w:rFonts w:ascii="Times New Roman" w:hAnsi="Times New Roman" w:cs="Times New Roman"/>
          <w:color w:val="000000"/>
        </w:rPr>
        <w:t>is behaald door de verkoop van het opstalrecht op kadastrale perselen Dalfsen H 909, H 2855 en H 2852, Heinoseweg 5, 7722 JM. Deze opbrengst is omgezet in effecten.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Toelichting op de balans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waarde van de materiële vaste activa is </w:t>
      </w:r>
      <w:r w:rsidR="00E343F9">
        <w:rPr>
          <w:rFonts w:ascii="Times New Roman" w:hAnsi="Times New Roman" w:cs="Times New Roman"/>
          <w:color w:val="000000"/>
        </w:rPr>
        <w:t>in 2013</w:t>
      </w:r>
      <w:r>
        <w:rPr>
          <w:rFonts w:ascii="Times New Roman" w:hAnsi="Times New Roman" w:cs="Times New Roman"/>
          <w:color w:val="000000"/>
        </w:rPr>
        <w:t xml:space="preserve"> getaxeerd, o.a. in verband met de verbouwing van</w:t>
      </w:r>
    </w:p>
    <w:p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9D6E66">
        <w:rPr>
          <w:rFonts w:ascii="Times New Roman" w:hAnsi="Times New Roman" w:cs="Times New Roman"/>
          <w:color w:val="000000"/>
          <w:lang w:val="nl-NL"/>
        </w:rPr>
        <w:t xml:space="preserve">Op de in het vorige financieel jaarverslag </w:t>
      </w:r>
      <w:r>
        <w:rPr>
          <w:rFonts w:ascii="Times New Roman" w:hAnsi="Times New Roman" w:cs="Times New Roman"/>
          <w:color w:val="000000"/>
          <w:lang w:val="nl-NL"/>
        </w:rPr>
        <w:t xml:space="preserve">genoemde hypotheken, alsmede op de </w:t>
      </w:r>
      <w:r w:rsidR="008438C4">
        <w:rPr>
          <w:rFonts w:ascii="Times New Roman" w:hAnsi="Times New Roman" w:cs="Times New Roman"/>
          <w:color w:val="000000"/>
          <w:lang w:val="nl-NL"/>
        </w:rPr>
        <w:t xml:space="preserve">bestaande </w:t>
      </w:r>
      <w:r>
        <w:rPr>
          <w:rFonts w:ascii="Times New Roman" w:hAnsi="Times New Roman" w:cs="Times New Roman"/>
          <w:color w:val="000000"/>
          <w:lang w:val="nl-NL"/>
        </w:rPr>
        <w:t>aflossingvrije hypotheek</w:t>
      </w:r>
      <w:r w:rsidR="008438C4">
        <w:rPr>
          <w:rFonts w:ascii="Times New Roman" w:hAnsi="Times New Roman" w:cs="Times New Roman"/>
          <w:color w:val="000000"/>
          <w:lang w:val="nl-NL"/>
        </w:rPr>
        <w:t>, allen afgesloten bij het Nationaal Restauratiefonds,</w:t>
      </w:r>
      <w:r>
        <w:rPr>
          <w:rFonts w:ascii="Times New Roman" w:hAnsi="Times New Roman" w:cs="Times New Roman"/>
          <w:color w:val="000000"/>
          <w:lang w:val="nl-NL"/>
        </w:rPr>
        <w:t xml:space="preserve"> zijn extra aflossingen verricht. Een overz</w:t>
      </w:r>
      <w:r w:rsidR="00E343F9">
        <w:rPr>
          <w:rFonts w:ascii="Times New Roman" w:hAnsi="Times New Roman" w:cs="Times New Roman"/>
          <w:color w:val="000000"/>
          <w:lang w:val="nl-NL"/>
        </w:rPr>
        <w:t>icht van de mutaties die in 2015</w:t>
      </w:r>
      <w:r>
        <w:rPr>
          <w:rFonts w:ascii="Times New Roman" w:hAnsi="Times New Roman" w:cs="Times New Roman"/>
          <w:color w:val="000000"/>
          <w:lang w:val="nl-NL"/>
        </w:rPr>
        <w:t xml:space="preserve"> hebben plaatsgevonden is hieronder weergegeven:</w:t>
      </w:r>
    </w:p>
    <w:p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>
        <w:trPr>
          <w:cnfStyle w:val="100000000000"/>
        </w:trPr>
        <w:tc>
          <w:tcPr>
            <w:cnfStyle w:val="001000000000"/>
            <w:tcW w:w="1101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Hoofdsom ultimo 201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>4</w:t>
            </w:r>
          </w:p>
        </w:tc>
        <w:tc>
          <w:tcPr>
            <w:tcW w:w="1418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>liere aflossingen 2015</w:t>
            </w:r>
          </w:p>
        </w:tc>
        <w:tc>
          <w:tcPr>
            <w:tcW w:w="1417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Extra aflossingen 201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>5</w:t>
            </w:r>
          </w:p>
        </w:tc>
        <w:tc>
          <w:tcPr>
            <w:tcW w:w="1162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Hoofdsom ultimo 201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>5</w:t>
            </w:r>
          </w:p>
        </w:tc>
      </w:tr>
      <w:tr w:rsidR="005C790E" w:rsidRPr="005C790E">
        <w:trPr>
          <w:cnfStyle w:val="000000100000"/>
        </w:trPr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4,4</w:t>
            </w:r>
          </w:p>
        </w:tc>
        <w:tc>
          <w:tcPr>
            <w:tcW w:w="1134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€ 28.995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,70</w:t>
            </w:r>
          </w:p>
        </w:tc>
        <w:tc>
          <w:tcPr>
            <w:tcW w:w="1418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€ 15.500,00</w:t>
            </w:r>
          </w:p>
        </w:tc>
        <w:tc>
          <w:tcPr>
            <w:tcW w:w="1162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€ 13.4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95,70</w:t>
            </w:r>
          </w:p>
        </w:tc>
      </w:tr>
      <w:tr w:rsidR="005C790E" w:rsidRPr="005C790E"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€ 32.923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14</w:t>
            </w:r>
          </w:p>
        </w:tc>
        <w:tc>
          <w:tcPr>
            <w:tcW w:w="1418" w:type="dxa"/>
          </w:tcPr>
          <w:p w:rsidR="00076766" w:rsidRPr="005C790E" w:rsidRDefault="00B659CD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€ 962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417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€ 31.961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03</w:t>
            </w:r>
          </w:p>
        </w:tc>
      </w:tr>
      <w:tr w:rsidR="005C790E" w:rsidRPr="005C790E">
        <w:trPr>
          <w:cnfStyle w:val="000000100000"/>
        </w:trPr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3,1</w:t>
            </w:r>
          </w:p>
        </w:tc>
        <w:tc>
          <w:tcPr>
            <w:tcW w:w="1134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€ 205.820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40</w:t>
            </w:r>
          </w:p>
        </w:tc>
        <w:tc>
          <w:tcPr>
            <w:tcW w:w="1418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€ 4.310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43</w:t>
            </w:r>
          </w:p>
        </w:tc>
        <w:tc>
          <w:tcPr>
            <w:tcW w:w="1417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€ 27.421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€ 174.088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97</w:t>
            </w:r>
          </w:p>
        </w:tc>
      </w:tr>
      <w:tr w:rsidR="005C790E" w:rsidRPr="005C790E">
        <w:tc>
          <w:tcPr>
            <w:tcW w:w="1101" w:type="dxa"/>
          </w:tcPr>
          <w:p w:rsidR="00076766" w:rsidRPr="005C790E" w:rsidRDefault="00076766" w:rsidP="00A72756">
            <w:pPr>
              <w:autoSpaceDE w:val="0"/>
              <w:autoSpaceDN w:val="0"/>
              <w:adjustRightInd w:val="0"/>
              <w:cnfStyle w:val="001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€ 267.739,24</w:t>
            </w:r>
          </w:p>
        </w:tc>
        <w:tc>
          <w:tcPr>
            <w:tcW w:w="1418" w:type="dxa"/>
          </w:tcPr>
          <w:p w:rsidR="00076766" w:rsidRPr="005C790E" w:rsidRDefault="00D81DCC" w:rsidP="003E296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€ 5.272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54</w:t>
            </w:r>
          </w:p>
        </w:tc>
        <w:tc>
          <w:tcPr>
            <w:tcW w:w="1417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€ 42.921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€ 219.545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70</w:t>
            </w:r>
          </w:p>
        </w:tc>
      </w:tr>
    </w:tbl>
    <w:p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>
        <w:rPr>
          <w:rFonts w:ascii="Arial" w:hAnsi="Arial" w:cs="Arial"/>
          <w:color w:val="000002"/>
          <w:sz w:val="20"/>
          <w:szCs w:val="20"/>
        </w:rPr>
        <w:t>722 JP Dalfsen,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r>
        <w:rPr>
          <w:rFonts w:ascii="Arial" w:hAnsi="Arial" w:cs="Arial"/>
          <w:color w:val="000002"/>
          <w:sz w:val="20"/>
          <w:szCs w:val="20"/>
        </w:rPr>
        <w:t>Heinoseweg 2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2"/>
          <w:sz w:val="20"/>
          <w:szCs w:val="20"/>
        </w:rPr>
        <w:t>2 A en 6, kadastraal bekend gemeente Dalfsen sectie H nummer 1545, groot één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2"/>
          <w:sz w:val="20"/>
          <w:szCs w:val="20"/>
        </w:rPr>
        <w:t>hectare negenendertig are zestig centiare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het saldo van baten en lasten is, evenals dit bij de vorige jaarrekening is gebeurd, de koerswinst op</w:t>
      </w:r>
    </w:p>
    <w:p w:rsidR="00A72756" w:rsidRPr="00753A2B" w:rsidRDefault="00A72756" w:rsidP="003735E1">
      <w:pPr>
        <w:rPr>
          <w:lang w:val="nl-NL"/>
        </w:rPr>
      </w:pPr>
      <w:r>
        <w:rPr>
          <w:rFonts w:ascii="Times New Roman" w:hAnsi="Times New Roman" w:cs="Times New Roman"/>
          <w:color w:val="000000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>In het jaar 201</w:t>
      </w:r>
      <w:r w:rsidR="00E343F9">
        <w:rPr>
          <w:rFonts w:ascii="Times New Roman" w:hAnsi="Times New Roman" w:cs="Times New Roman"/>
          <w:color w:val="000000"/>
          <w:lang w:val="nl-NL"/>
        </w:rPr>
        <w:t>5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3735E1">
        <w:rPr>
          <w:rFonts w:ascii="Times New Roman" w:hAnsi="Times New Roman" w:cs="Times New Roman"/>
          <w:color w:val="000000"/>
          <w:lang w:val="nl-NL"/>
        </w:rPr>
        <w:t>substantiële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3735E1">
        <w:rPr>
          <w:rFonts w:ascii="Times New Roman" w:hAnsi="Times New Roman" w:cs="Times New Roman"/>
          <w:color w:val="000000"/>
          <w:lang w:val="nl-NL"/>
        </w:rPr>
        <w:t>koersdaling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plaatsgevonden.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Bestemming voordelig saldo</w:t>
      </w:r>
    </w:p>
    <w:p w:rsidR="00A72756" w:rsidRPr="00753A2B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753A2B">
        <w:rPr>
          <w:rFonts w:ascii="Times New Roman" w:hAnsi="Times New Roman" w:cs="Times New Roman"/>
          <w:color w:val="000000"/>
          <w:lang w:val="nl-NL"/>
        </w:rPr>
        <w:t>Het voor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>delig sal</w:t>
      </w:r>
      <w:r w:rsidR="00753A2B">
        <w:rPr>
          <w:rFonts w:ascii="Times New Roman" w:hAnsi="Times New Roman" w:cs="Times New Roman"/>
          <w:color w:val="000000"/>
          <w:lang w:val="nl-NL"/>
        </w:rPr>
        <w:t xml:space="preserve">do ter waarde van € </w:t>
      </w:r>
      <w:r w:rsidR="003735E1">
        <w:rPr>
          <w:rFonts w:ascii="Times New Roman" w:hAnsi="Times New Roman" w:cs="Times New Roman"/>
          <w:color w:val="000000"/>
          <w:lang w:val="nl-NL"/>
        </w:rPr>
        <w:t>251</w:t>
      </w:r>
      <w:r w:rsidR="008438C4">
        <w:rPr>
          <w:rFonts w:ascii="Times New Roman" w:hAnsi="Times New Roman" w:cs="Times New Roman"/>
          <w:color w:val="000000"/>
          <w:lang w:val="nl-NL"/>
        </w:rPr>
        <w:t>.</w:t>
      </w:r>
      <w:r w:rsidR="003735E1">
        <w:rPr>
          <w:rFonts w:ascii="Times New Roman" w:hAnsi="Times New Roman" w:cs="Times New Roman"/>
          <w:color w:val="000000"/>
          <w:lang w:val="nl-NL"/>
        </w:rPr>
        <w:t>868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is overgebracht naar de overige reserves van het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stichtingskapitaal. Een deel zal worden benut voor het aflossen van een gedeelte van de hypothecaire</w:t>
      </w:r>
    </w:p>
    <w:p w:rsidR="006234D3" w:rsidRDefault="00A72756" w:rsidP="00A72756">
      <w:r>
        <w:rPr>
          <w:rFonts w:ascii="Times New Roman" w:hAnsi="Times New Roman" w:cs="Times New Roman"/>
          <w:color w:val="000000"/>
        </w:rPr>
        <w:t>leningen.</w:t>
      </w:r>
      <w:r w:rsidR="003735E1">
        <w:rPr>
          <w:rFonts w:ascii="Times New Roman" w:hAnsi="Times New Roman" w:cs="Times New Roman"/>
          <w:color w:val="000000"/>
        </w:rPr>
        <w:t xml:space="preserve"> Een ander deel is gereserveerd voor een geplande verbouwing van een van de schuren tot een vergader- en tentoonstellingsruimte.</w:t>
      </w:r>
    </w:p>
    <w:sectPr w:rsidR="006234D3" w:rsidSect="00A351AE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6"/>
  <w:doNotTrackMoves/>
  <w:defaultTabStop w:val="708"/>
  <w:hyphenationZone w:val="425"/>
  <w:characterSpacingControl w:val="doNotCompress"/>
  <w:compat>
    <w:useFELayout/>
  </w:compat>
  <w:rsids>
    <w:rsidRoot w:val="00DF188D"/>
    <w:rsid w:val="00076766"/>
    <w:rsid w:val="000E30BF"/>
    <w:rsid w:val="00132451"/>
    <w:rsid w:val="003157BB"/>
    <w:rsid w:val="003735E1"/>
    <w:rsid w:val="00381BFA"/>
    <w:rsid w:val="003E2968"/>
    <w:rsid w:val="005C790E"/>
    <w:rsid w:val="006234D3"/>
    <w:rsid w:val="00655A9E"/>
    <w:rsid w:val="00657052"/>
    <w:rsid w:val="00670839"/>
    <w:rsid w:val="006B2E48"/>
    <w:rsid w:val="00753A2B"/>
    <w:rsid w:val="008438C4"/>
    <w:rsid w:val="008713FE"/>
    <w:rsid w:val="00942182"/>
    <w:rsid w:val="009D6E66"/>
    <w:rsid w:val="00A24B4D"/>
    <w:rsid w:val="00A351AE"/>
    <w:rsid w:val="00A72756"/>
    <w:rsid w:val="00AE448A"/>
    <w:rsid w:val="00B659CD"/>
    <w:rsid w:val="00C75036"/>
    <w:rsid w:val="00D81DCC"/>
    <w:rsid w:val="00DF188D"/>
    <w:rsid w:val="00E343F9"/>
    <w:rsid w:val="00ED1262"/>
    <w:rsid w:val="00FF4E7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3245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514</Words>
  <Characters>2931</Characters>
  <Application>Microsoft Macintosh Word</Application>
  <DocSecurity>0</DocSecurity>
  <Lines>24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15</cp:revision>
  <dcterms:created xsi:type="dcterms:W3CDTF">2016-05-09T08:10:00Z</dcterms:created>
  <dcterms:modified xsi:type="dcterms:W3CDTF">2016-09-12T20:08:00Z</dcterms:modified>
</cp:coreProperties>
</file>