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AE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  <w:r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>Van Dedem Den Berg Stichting</w:t>
      </w:r>
      <w:r w:rsidR="006234D3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 xml:space="preserve"> Financieel </w:t>
      </w:r>
      <w:r w:rsidR="00657052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>Jaarverslag 2014</w:t>
      </w:r>
      <w:bookmarkStart w:id="0" w:name="_GoBack"/>
      <w:bookmarkEnd w:id="0"/>
    </w:p>
    <w:p w:rsidR="000E30BF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De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Balans</w:t>
      </w:r>
      <w:proofErr w:type="spellEnd"/>
    </w:p>
    <w:tbl>
      <w:tblPr>
        <w:tblStyle w:val="Lichtearcering-accent1"/>
        <w:tblW w:w="8140" w:type="dxa"/>
        <w:tblLook w:val="04A0"/>
      </w:tblPr>
      <w:tblGrid>
        <w:gridCol w:w="2518"/>
        <w:gridCol w:w="1422"/>
        <w:gridCol w:w="2547"/>
        <w:gridCol w:w="1653"/>
      </w:tblGrid>
      <w:tr w:rsidR="006234D3" w:rsidRPr="006234D3">
        <w:trPr>
          <w:cnfStyle w:val="1000000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:rsidR="006234D3" w:rsidRPr="006234D3" w:rsidRDefault="006234D3" w:rsidP="006234D3">
            <w:pPr>
              <w:cnfStyle w:val="1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100000000000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Passiva</w:t>
            </w:r>
            <w:proofErr w:type="spellEnd"/>
          </w:p>
        </w:tc>
        <w:tc>
          <w:tcPr>
            <w:tcW w:w="1653" w:type="dxa"/>
            <w:noWrap/>
          </w:tcPr>
          <w:p w:rsidR="006234D3" w:rsidRPr="006234D3" w:rsidRDefault="006234D3" w:rsidP="006234D3">
            <w:pPr>
              <w:cnfStyle w:val="1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:rsidR="006234D3" w:rsidRPr="008713FE" w:rsidRDefault="00657052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2014</w:t>
            </w: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:rsidR="006234D3" w:rsidRPr="008713FE" w:rsidRDefault="00657052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2014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Vaste Activa</w:t>
            </w:r>
          </w:p>
        </w:tc>
        <w:tc>
          <w:tcPr>
            <w:tcW w:w="1422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Stichtingskapitaal</w:t>
            </w:r>
          </w:p>
        </w:tc>
        <w:tc>
          <w:tcPr>
            <w:tcW w:w="1653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Materi</w:t>
            </w:r>
            <w:r w:rsid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ë</w:t>
            </w: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le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vaste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:rsidR="006234D3" w:rsidRPr="006234D3" w:rsidRDefault="00657052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€ 6.960.329</w:t>
            </w: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Overige reserves</w:t>
            </w:r>
          </w:p>
        </w:tc>
        <w:tc>
          <w:tcPr>
            <w:tcW w:w="1653" w:type="dxa"/>
            <w:noWrap/>
          </w:tcPr>
          <w:p w:rsidR="006234D3" w:rsidRPr="006234D3" w:rsidRDefault="006234D3" w:rsidP="00657052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€ 6.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950.403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2518" w:type="dxa"/>
            <w:noWrap/>
          </w:tcPr>
          <w:p w:rsidR="006234D3" w:rsidRPr="008713FE" w:rsidRDefault="008713F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F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i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n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anciële</w:t>
            </w:r>
            <w:proofErr w:type="spellEnd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vaste</w:t>
            </w:r>
            <w:proofErr w:type="spellEnd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:rsidR="006234D3" w:rsidRPr="006234D3" w:rsidRDefault="00753A2B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€ 495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.284</w:t>
            </w: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Overige voorzieningen</w:t>
            </w:r>
          </w:p>
        </w:tc>
        <w:tc>
          <w:tcPr>
            <w:tcW w:w="1653" w:type="dxa"/>
            <w:noWrap/>
          </w:tcPr>
          <w:p w:rsidR="006234D3" w:rsidRPr="006234D3" w:rsidRDefault="006234D3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€ 341.330</w:t>
            </w: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>
        <w:trPr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Vlottende activa</w:t>
            </w:r>
          </w:p>
        </w:tc>
        <w:tc>
          <w:tcPr>
            <w:tcW w:w="1422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Vorderingen</w:t>
            </w:r>
          </w:p>
        </w:tc>
        <w:tc>
          <w:tcPr>
            <w:tcW w:w="1422" w:type="dxa"/>
            <w:noWrap/>
          </w:tcPr>
          <w:p w:rsidR="006234D3" w:rsidRPr="006234D3" w:rsidRDefault="00657052" w:rsidP="00657052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€ 4</w:t>
            </w:r>
            <w:r w:rsidR="006234D3"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346</w:t>
            </w: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Langlopende schulden</w:t>
            </w:r>
          </w:p>
        </w:tc>
        <w:tc>
          <w:tcPr>
            <w:tcW w:w="1653" w:type="dxa"/>
            <w:noWrap/>
          </w:tcPr>
          <w:p w:rsidR="006234D3" w:rsidRPr="006234D3" w:rsidRDefault="00657052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€ 272.739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2518" w:type="dxa"/>
            <w:noWrap/>
          </w:tcPr>
          <w:p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Liquide midddelen</w:t>
            </w:r>
          </w:p>
        </w:tc>
        <w:tc>
          <w:tcPr>
            <w:tcW w:w="1422" w:type="dxa"/>
            <w:noWrap/>
          </w:tcPr>
          <w:p w:rsidR="006234D3" w:rsidRPr="006234D3" w:rsidRDefault="00657052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€ 109.673</w:t>
            </w: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Kortlopende schulden</w:t>
            </w:r>
          </w:p>
        </w:tc>
        <w:tc>
          <w:tcPr>
            <w:tcW w:w="1653" w:type="dxa"/>
            <w:noWrap/>
          </w:tcPr>
          <w:p w:rsidR="006234D3" w:rsidRPr="006234D3" w:rsidRDefault="00942182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5.160</w:t>
            </w:r>
          </w:p>
        </w:tc>
      </w:tr>
      <w:tr w:rsidR="006234D3" w:rsidRPr="00657052">
        <w:trPr>
          <w:cnfStyle w:val="0000001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</w:p>
        </w:tc>
        <w:tc>
          <w:tcPr>
            <w:tcW w:w="1422" w:type="dxa"/>
            <w:noWrap/>
          </w:tcPr>
          <w:p w:rsidR="006234D3" w:rsidRPr="00657052" w:rsidRDefault="00657052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€ 7.</w:t>
            </w: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569.6</w:t>
            </w:r>
            <w:r w:rsidR="009D6E66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32</w:t>
            </w:r>
          </w:p>
        </w:tc>
        <w:tc>
          <w:tcPr>
            <w:tcW w:w="2547" w:type="dxa"/>
            <w:noWrap/>
          </w:tcPr>
          <w:p w:rsidR="006234D3" w:rsidRPr="00657052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653" w:type="dxa"/>
            <w:noWrap/>
          </w:tcPr>
          <w:p w:rsidR="006234D3" w:rsidRPr="00657052" w:rsidRDefault="00942182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7.569.632</w:t>
            </w:r>
          </w:p>
        </w:tc>
      </w:tr>
    </w:tbl>
    <w:p w:rsidR="000E30BF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</w:p>
    <w:p w:rsidR="006234D3" w:rsidRPr="00657052" w:rsidRDefault="003E2968" w:rsidP="00DF188D">
      <w:pPr>
        <w:rPr>
          <w:rFonts w:ascii="Cambria,Bold" w:hAnsi="Cambria,Bold" w:cs="Cambria,Bold"/>
          <w:b/>
          <w:bCs/>
          <w:sz w:val="26"/>
          <w:szCs w:val="26"/>
          <w:lang w:val="nl-NL"/>
        </w:rPr>
      </w:pPr>
      <w:r>
        <w:rPr>
          <w:rFonts w:ascii="Cambria,Bold" w:hAnsi="Cambria,Bold" w:cs="Cambria,Bold"/>
          <w:b/>
          <w:bCs/>
          <w:sz w:val="26"/>
          <w:szCs w:val="26"/>
          <w:lang w:val="nl-NL"/>
        </w:rPr>
        <w:t>De staat van baten en lasten</w:t>
      </w:r>
    </w:p>
    <w:tbl>
      <w:tblPr>
        <w:tblStyle w:val="Lichtearcering-accent1"/>
        <w:tblW w:w="5620" w:type="dxa"/>
        <w:tblLook w:val="04A0"/>
      </w:tblPr>
      <w:tblGrid>
        <w:gridCol w:w="3840"/>
        <w:gridCol w:w="1780"/>
      </w:tblGrid>
      <w:tr w:rsidR="006234D3" w:rsidRPr="00657052">
        <w:trPr>
          <w:cnfStyle w:val="100000000000"/>
          <w:trHeight w:val="300"/>
        </w:trPr>
        <w:tc>
          <w:tcPr>
            <w:cnfStyle w:val="001000000000"/>
            <w:tcW w:w="3840" w:type="dxa"/>
            <w:noWrap/>
          </w:tcPr>
          <w:p w:rsidR="006234D3" w:rsidRPr="00657052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BATEN</w:t>
            </w:r>
          </w:p>
        </w:tc>
        <w:tc>
          <w:tcPr>
            <w:tcW w:w="1780" w:type="dxa"/>
            <w:noWrap/>
          </w:tcPr>
          <w:p w:rsidR="006234D3" w:rsidRPr="008713FE" w:rsidRDefault="00657052" w:rsidP="00076766">
            <w:pPr>
              <w:jc w:val="right"/>
              <w:cnfStyle w:val="100000000000"/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  <w:t>2014</w:t>
            </w:r>
          </w:p>
        </w:tc>
      </w:tr>
      <w:tr w:rsidR="006234D3" w:rsidRPr="00657052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Verpachting landerijen en jacht</w:t>
            </w:r>
          </w:p>
        </w:tc>
        <w:tc>
          <w:tcPr>
            <w:tcW w:w="1780" w:type="dxa"/>
            <w:noWrap/>
          </w:tcPr>
          <w:p w:rsidR="006234D3" w:rsidRPr="00657052" w:rsidRDefault="006234D3" w:rsidP="00657052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€ 2</w:t>
            </w:r>
            <w:r w:rsid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8.474</w:t>
            </w:r>
          </w:p>
        </w:tc>
      </w:tr>
      <w:tr w:rsidR="006234D3" w:rsidRPr="00657052">
        <w:trPr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Openstelling</w:t>
            </w:r>
          </w:p>
        </w:tc>
        <w:tc>
          <w:tcPr>
            <w:tcW w:w="1780" w:type="dxa"/>
            <w:noWrap/>
          </w:tcPr>
          <w:p w:rsidR="006234D3" w:rsidRPr="00657052" w:rsidRDefault="00657052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€ 3.21</w:t>
            </w:r>
            <w:r w:rsidR="006234D3"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</w:t>
            </w:r>
          </w:p>
        </w:tc>
      </w:tr>
      <w:tr w:rsidR="006234D3" w:rsidRPr="008713FE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753A2B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Verhuur W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oningen</w:t>
            </w:r>
          </w:p>
        </w:tc>
        <w:tc>
          <w:tcPr>
            <w:tcW w:w="1780" w:type="dxa"/>
            <w:noWrap/>
          </w:tcPr>
          <w:p w:rsidR="006234D3" w:rsidRPr="008713FE" w:rsidRDefault="00657052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€ 86.012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753A2B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Opbrengsten Tuin, Park en B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os</w:t>
            </w:r>
          </w:p>
        </w:tc>
        <w:tc>
          <w:tcPr>
            <w:tcW w:w="1780" w:type="dxa"/>
            <w:noWrap/>
          </w:tcPr>
          <w:p w:rsidR="006234D3" w:rsidRPr="006234D3" w:rsidRDefault="00657052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€ 0</w:t>
            </w: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753A2B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Opbrengsten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ermogensbeheer</w:t>
            </w:r>
            <w:proofErr w:type="spellEnd"/>
          </w:p>
        </w:tc>
        <w:tc>
          <w:tcPr>
            <w:tcW w:w="1780" w:type="dxa"/>
            <w:noWrap/>
          </w:tcPr>
          <w:p w:rsidR="006234D3" w:rsidRPr="006234D3" w:rsidRDefault="00657052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€ 29.013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753A2B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Koersresultaten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E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ffecten</w:t>
            </w:r>
            <w:proofErr w:type="spellEnd"/>
          </w:p>
        </w:tc>
        <w:tc>
          <w:tcPr>
            <w:tcW w:w="1780" w:type="dxa"/>
            <w:noWrap/>
          </w:tcPr>
          <w:p w:rsidR="006234D3" w:rsidRPr="006234D3" w:rsidRDefault="00657052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€ 4.228</w:t>
            </w: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6234D3" w:rsidP="00753A2B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Subsidies en </w:t>
            </w:r>
            <w:proofErr w:type="spellStart"/>
            <w:r w:rsidR="00753A2B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</w:t>
            </w: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ijdragen</w:t>
            </w:r>
            <w:proofErr w:type="spellEnd"/>
          </w:p>
        </w:tc>
        <w:tc>
          <w:tcPr>
            <w:tcW w:w="1780" w:type="dxa"/>
            <w:noWrap/>
          </w:tcPr>
          <w:p w:rsidR="006234D3" w:rsidRPr="006234D3" w:rsidRDefault="00657052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€ 64.792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</w:p>
        </w:tc>
        <w:tc>
          <w:tcPr>
            <w:tcW w:w="1780" w:type="dxa"/>
            <w:noWrap/>
          </w:tcPr>
          <w:p w:rsidR="006234D3" w:rsidRPr="008713FE" w:rsidRDefault="00657052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€ 215.729</w:t>
            </w:r>
          </w:p>
        </w:tc>
      </w:tr>
      <w:tr w:rsidR="008713FE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8713FE" w:rsidRPr="006234D3" w:rsidRDefault="008713F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:rsidR="008713FE" w:rsidRPr="006234D3" w:rsidRDefault="008713FE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LASTEN</w:t>
            </w:r>
          </w:p>
        </w:tc>
        <w:tc>
          <w:tcPr>
            <w:tcW w:w="1780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753A2B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H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uisvesting</w:t>
            </w:r>
            <w:proofErr w:type="spellEnd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en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nderhoudskosten</w:t>
            </w:r>
            <w:proofErr w:type="spellEnd"/>
          </w:p>
        </w:tc>
        <w:tc>
          <w:tcPr>
            <w:tcW w:w="1780" w:type="dxa"/>
            <w:noWrap/>
          </w:tcPr>
          <w:p w:rsidR="006234D3" w:rsidRPr="006234D3" w:rsidRDefault="00657052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€ 68.941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Bestuurskosten incl rentmeesterskosten</w:t>
            </w:r>
          </w:p>
        </w:tc>
        <w:tc>
          <w:tcPr>
            <w:tcW w:w="1780" w:type="dxa"/>
            <w:noWrap/>
          </w:tcPr>
          <w:p w:rsidR="006234D3" w:rsidRPr="006234D3" w:rsidRDefault="00657052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€ 27.710</w:t>
            </w: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753A2B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Kosten Tuin, Park en B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os</w:t>
            </w:r>
          </w:p>
        </w:tc>
        <w:tc>
          <w:tcPr>
            <w:tcW w:w="1780" w:type="dxa"/>
            <w:noWrap/>
          </w:tcPr>
          <w:p w:rsidR="006234D3" w:rsidRPr="006234D3" w:rsidRDefault="00657052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€ 30.663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753A2B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Kosten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ermogensbeheer</w:t>
            </w:r>
            <w:proofErr w:type="spellEnd"/>
          </w:p>
        </w:tc>
        <w:tc>
          <w:tcPr>
            <w:tcW w:w="1780" w:type="dxa"/>
            <w:noWrap/>
          </w:tcPr>
          <w:p w:rsidR="006234D3" w:rsidRPr="006234D3" w:rsidRDefault="00657052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€ 4.008</w:t>
            </w: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</w:p>
        </w:tc>
        <w:tc>
          <w:tcPr>
            <w:tcW w:w="1780" w:type="dxa"/>
            <w:noWrap/>
          </w:tcPr>
          <w:p w:rsidR="006234D3" w:rsidRPr="008713FE" w:rsidRDefault="00657052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color w:val="000000"/>
                <w:lang w:eastAsia="nl-NL"/>
              </w:rPr>
              <w:t>€ 131.322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Resultaat</w:t>
            </w:r>
          </w:p>
        </w:tc>
        <w:tc>
          <w:tcPr>
            <w:tcW w:w="1780" w:type="dxa"/>
            <w:noWrap/>
          </w:tcPr>
          <w:p w:rsidR="006234D3" w:rsidRPr="008713FE" w:rsidRDefault="00657052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€ 84.407</w:t>
            </w:r>
          </w:p>
        </w:tc>
      </w:tr>
    </w:tbl>
    <w:p w:rsidR="000E30BF" w:rsidRDefault="000E30BF" w:rsidP="00DF188D"/>
    <w:p w:rsidR="00A72756" w:rsidRPr="00A72756" w:rsidRDefault="006234D3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Toeli</w:t>
      </w:r>
      <w:r w:rsidR="003E2968">
        <w:rPr>
          <w:rFonts w:ascii="Cambria,Bold" w:hAnsi="Cambria,Bold" w:cs="Cambria,Bold"/>
          <w:b/>
          <w:bCs/>
          <w:sz w:val="26"/>
          <w:szCs w:val="26"/>
        </w:rPr>
        <w:t>chting</w:t>
      </w:r>
      <w:proofErr w:type="spellEnd"/>
    </w:p>
    <w:p w:rsidR="00A72756" w:rsidRPr="00A72756" w:rsidRDefault="00A72756" w:rsidP="00A72756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ab/>
      </w:r>
    </w:p>
    <w:p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Grondslagen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voor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resultaatbepaling</w:t>
      </w:r>
    </w:p>
    <w:p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Algemeen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Onder baten wordt verstaan de opbrengst van de in het verslagjaar geleverde diensten onder aftrek van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kortingen.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Het resultaat wordt bepaald als het verschil tussen de baten en alle hiermee verbonden lasten en andere</w:t>
      </w:r>
    </w:p>
    <w:p w:rsidR="00A72756" w:rsidRDefault="00A72756" w:rsidP="00C7503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</w:rPr>
        <w:t>aan</w:t>
      </w:r>
      <w:proofErr w:type="gramEnd"/>
      <w:r>
        <w:rPr>
          <w:rFonts w:ascii="Times New Roman" w:hAnsi="Times New Roman" w:cs="Times New Roman"/>
          <w:color w:val="000000"/>
        </w:rPr>
        <w:t xml:space="preserve"> het verslagjaar toe te rekenen lasten. 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proofErr w:type="spellStart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Afschrijvingen</w:t>
      </w:r>
      <w:proofErr w:type="spellEnd"/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 afschrijvingspercentages bedragen voor: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Opstallen: geen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Cultuurgronden: geen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Bos, park, tuin &amp; water: geen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Inventaris: geen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Financiele baten en lasten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 rentebaten en –lasten betreffen de op de verslagperiode betrekking hebbende renteopbrengsten en –</w:t>
      </w:r>
    </w:p>
    <w:p w:rsidR="006234D3" w:rsidRDefault="00A72756" w:rsidP="00A72756">
      <w:pPr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>lasten van uitgegeven en ontvangen leningen en banktegoeden en schulden aan kredietinstellingen.</w:t>
      </w:r>
      <w:r>
        <w:rPr>
          <w:rFonts w:ascii="Cambria,Bold" w:hAnsi="Cambria,Bold" w:cs="Cambria,Bold"/>
          <w:b/>
          <w:bCs/>
          <w:color w:val="4F82BE"/>
          <w:sz w:val="26"/>
          <w:szCs w:val="26"/>
        </w:rPr>
        <w:t xml:space="preserve"> </w:t>
      </w:r>
    </w:p>
    <w:p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>Toelichting op de balans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 waarde van de materiële vaste activa is opnieuw getaxeerd, o.a. in verband met de verbouwing van</w:t>
      </w:r>
    </w:p>
    <w:p w:rsidR="00A72756" w:rsidRPr="005C790E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5C790E">
        <w:rPr>
          <w:rFonts w:ascii="Times New Roman" w:hAnsi="Times New Roman" w:cs="Times New Roman"/>
          <w:color w:val="000000"/>
          <w:lang w:val="nl-NL"/>
        </w:rPr>
        <w:t>het westelijk bouwhuis</w:t>
      </w:r>
      <w:r w:rsidR="00076766" w:rsidRPr="005C790E">
        <w:rPr>
          <w:rFonts w:ascii="Times New Roman" w:hAnsi="Times New Roman" w:cs="Times New Roman"/>
          <w:color w:val="000000"/>
          <w:lang w:val="nl-NL"/>
        </w:rPr>
        <w:t>.</w:t>
      </w:r>
      <w:r w:rsidR="005C790E" w:rsidRPr="005C790E">
        <w:rPr>
          <w:rFonts w:ascii="Times New Roman" w:hAnsi="Times New Roman" w:cs="Times New Roman"/>
          <w:color w:val="000000"/>
          <w:lang w:val="nl-NL"/>
        </w:rPr>
        <w:t xml:space="preserve"> </w:t>
      </w:r>
    </w:p>
    <w:p w:rsidR="009D6E66" w:rsidRDefault="009D6E6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9D6E66">
        <w:rPr>
          <w:rFonts w:ascii="Times New Roman" w:hAnsi="Times New Roman" w:cs="Times New Roman"/>
          <w:color w:val="000000"/>
          <w:lang w:val="nl-NL"/>
        </w:rPr>
        <w:t xml:space="preserve">Op de in het vorige financieel jaarverslag </w:t>
      </w:r>
      <w:r>
        <w:rPr>
          <w:rFonts w:ascii="Times New Roman" w:hAnsi="Times New Roman" w:cs="Times New Roman"/>
          <w:color w:val="000000"/>
          <w:lang w:val="nl-NL"/>
        </w:rPr>
        <w:t xml:space="preserve">genoemde hypotheken, alsmede op de </w:t>
      </w:r>
      <w:r w:rsidR="008438C4">
        <w:rPr>
          <w:rFonts w:ascii="Times New Roman" w:hAnsi="Times New Roman" w:cs="Times New Roman"/>
          <w:color w:val="000000"/>
          <w:lang w:val="nl-NL"/>
        </w:rPr>
        <w:t xml:space="preserve">bestaande </w:t>
      </w:r>
      <w:r>
        <w:rPr>
          <w:rFonts w:ascii="Times New Roman" w:hAnsi="Times New Roman" w:cs="Times New Roman"/>
          <w:color w:val="000000"/>
          <w:lang w:val="nl-NL"/>
        </w:rPr>
        <w:t>aflossingvrije hypotheek</w:t>
      </w:r>
      <w:r w:rsidR="008438C4">
        <w:rPr>
          <w:rFonts w:ascii="Times New Roman" w:hAnsi="Times New Roman" w:cs="Times New Roman"/>
          <w:color w:val="000000"/>
          <w:lang w:val="nl-NL"/>
        </w:rPr>
        <w:t>, allen afgesloten bij het Nationaal Restauratiefonds,</w:t>
      </w:r>
      <w:r>
        <w:rPr>
          <w:rFonts w:ascii="Times New Roman" w:hAnsi="Times New Roman" w:cs="Times New Roman"/>
          <w:color w:val="000000"/>
          <w:lang w:val="nl-NL"/>
        </w:rPr>
        <w:t xml:space="preserve"> zijn extra aflossingen verricht. Een overzicht van de mutaties die in 2014 hebben plaatsgevonden is hieronder weergegeven:</w:t>
      </w:r>
    </w:p>
    <w:p w:rsidR="009D6E66" w:rsidRDefault="009D6E6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tbl>
      <w:tblPr>
        <w:tblStyle w:val="Lichtearcering-accent1"/>
        <w:tblW w:w="9350" w:type="dxa"/>
        <w:tblLayout w:type="fixed"/>
        <w:tblLook w:val="04A0"/>
      </w:tblPr>
      <w:tblGrid>
        <w:gridCol w:w="1101"/>
        <w:gridCol w:w="2268"/>
        <w:gridCol w:w="850"/>
        <w:gridCol w:w="1134"/>
        <w:gridCol w:w="1418"/>
        <w:gridCol w:w="1417"/>
        <w:gridCol w:w="1162"/>
      </w:tblGrid>
      <w:tr w:rsidR="005C790E" w:rsidRPr="005C790E">
        <w:trPr>
          <w:cnfStyle w:val="100000000000"/>
        </w:trPr>
        <w:tc>
          <w:tcPr>
            <w:cnfStyle w:val="001000000000"/>
            <w:tcW w:w="1101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Nummer</w:t>
            </w:r>
          </w:p>
        </w:tc>
        <w:tc>
          <w:tcPr>
            <w:tcW w:w="2268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Omschrijving</w:t>
            </w:r>
          </w:p>
        </w:tc>
        <w:tc>
          <w:tcPr>
            <w:tcW w:w="850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Rente %</w:t>
            </w:r>
          </w:p>
        </w:tc>
        <w:tc>
          <w:tcPr>
            <w:tcW w:w="1134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Hoofdsom ultimo 2013</w:t>
            </w:r>
          </w:p>
        </w:tc>
        <w:tc>
          <w:tcPr>
            <w:tcW w:w="1418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Reguliere aflossingen 2014</w:t>
            </w:r>
          </w:p>
        </w:tc>
        <w:tc>
          <w:tcPr>
            <w:tcW w:w="1417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Extra aflossingen 2014</w:t>
            </w:r>
          </w:p>
        </w:tc>
        <w:tc>
          <w:tcPr>
            <w:tcW w:w="1162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Hoofdsom ultimo 2014</w:t>
            </w:r>
          </w:p>
        </w:tc>
      </w:tr>
      <w:tr w:rsidR="005C790E" w:rsidRPr="005C790E">
        <w:trPr>
          <w:cnfStyle w:val="000000100000"/>
        </w:trPr>
        <w:tc>
          <w:tcPr>
            <w:cnfStyle w:val="001000000000"/>
            <w:tcW w:w="1101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812.349.020</w:t>
            </w:r>
          </w:p>
        </w:tc>
        <w:tc>
          <w:tcPr>
            <w:tcW w:w="2268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 2 aflossingsvrij</w:t>
            </w:r>
          </w:p>
        </w:tc>
        <w:tc>
          <w:tcPr>
            <w:tcW w:w="850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4,4</w:t>
            </w:r>
          </w:p>
        </w:tc>
        <w:tc>
          <w:tcPr>
            <w:tcW w:w="1134" w:type="dxa"/>
          </w:tcPr>
          <w:p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€ 44.495,70</w:t>
            </w:r>
          </w:p>
        </w:tc>
        <w:tc>
          <w:tcPr>
            <w:tcW w:w="1418" w:type="dxa"/>
          </w:tcPr>
          <w:p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€ 0,00</w:t>
            </w:r>
          </w:p>
        </w:tc>
        <w:tc>
          <w:tcPr>
            <w:tcW w:w="1417" w:type="dxa"/>
          </w:tcPr>
          <w:p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€ 15.500,00</w:t>
            </w:r>
          </w:p>
        </w:tc>
        <w:tc>
          <w:tcPr>
            <w:tcW w:w="1162" w:type="dxa"/>
          </w:tcPr>
          <w:p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€ 28.995,70</w:t>
            </w:r>
          </w:p>
        </w:tc>
      </w:tr>
      <w:tr w:rsidR="005C790E" w:rsidRPr="005C790E">
        <w:tc>
          <w:tcPr>
            <w:cnfStyle w:val="001000000000"/>
            <w:tcW w:w="1101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817.925.020</w:t>
            </w:r>
          </w:p>
        </w:tc>
        <w:tc>
          <w:tcPr>
            <w:tcW w:w="2268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HW6A restauratie, annuiteïten</w:t>
            </w:r>
          </w:p>
        </w:tc>
        <w:tc>
          <w:tcPr>
            <w:tcW w:w="850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1,5</w:t>
            </w:r>
          </w:p>
        </w:tc>
        <w:tc>
          <w:tcPr>
            <w:tcW w:w="1134" w:type="dxa"/>
          </w:tcPr>
          <w:p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€ 33.871,03</w:t>
            </w:r>
          </w:p>
        </w:tc>
        <w:tc>
          <w:tcPr>
            <w:tcW w:w="1418" w:type="dxa"/>
          </w:tcPr>
          <w:p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€ 947,89</w:t>
            </w:r>
          </w:p>
        </w:tc>
        <w:tc>
          <w:tcPr>
            <w:tcW w:w="1417" w:type="dxa"/>
          </w:tcPr>
          <w:p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€ 0,00</w:t>
            </w:r>
          </w:p>
        </w:tc>
        <w:tc>
          <w:tcPr>
            <w:tcW w:w="1162" w:type="dxa"/>
          </w:tcPr>
          <w:p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€ 32.923,14</w:t>
            </w:r>
          </w:p>
        </w:tc>
      </w:tr>
      <w:tr w:rsidR="005C790E" w:rsidRPr="005C790E">
        <w:trPr>
          <w:cnfStyle w:val="000000100000"/>
        </w:trPr>
        <w:tc>
          <w:tcPr>
            <w:cnfStyle w:val="001000000000"/>
            <w:tcW w:w="1101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817.925.030</w:t>
            </w:r>
          </w:p>
        </w:tc>
        <w:tc>
          <w:tcPr>
            <w:tcW w:w="2268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HW6A annuïteiten</w:t>
            </w:r>
          </w:p>
        </w:tc>
        <w:tc>
          <w:tcPr>
            <w:tcW w:w="850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3,1</w:t>
            </w:r>
          </w:p>
        </w:tc>
        <w:tc>
          <w:tcPr>
            <w:tcW w:w="1134" w:type="dxa"/>
          </w:tcPr>
          <w:p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€ 240.564,28</w:t>
            </w:r>
          </w:p>
        </w:tc>
        <w:tc>
          <w:tcPr>
            <w:tcW w:w="1418" w:type="dxa"/>
          </w:tcPr>
          <w:p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€ 4.859,37</w:t>
            </w:r>
          </w:p>
        </w:tc>
        <w:tc>
          <w:tcPr>
            <w:tcW w:w="1417" w:type="dxa"/>
          </w:tcPr>
          <w:p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€ 29.884,51</w:t>
            </w:r>
          </w:p>
        </w:tc>
        <w:tc>
          <w:tcPr>
            <w:tcW w:w="1162" w:type="dxa"/>
          </w:tcPr>
          <w:p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€ 205.820,40</w:t>
            </w:r>
          </w:p>
        </w:tc>
      </w:tr>
      <w:tr w:rsidR="005C790E" w:rsidRPr="005C790E">
        <w:tc>
          <w:tcPr>
            <w:cnfStyle w:val="001000000000"/>
            <w:tcW w:w="1101" w:type="dxa"/>
          </w:tcPr>
          <w:p w:rsidR="00076766" w:rsidRPr="005C790E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00000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  <w:t>Totalen</w:t>
            </w:r>
          </w:p>
        </w:tc>
        <w:tc>
          <w:tcPr>
            <w:tcW w:w="850" w:type="dxa"/>
          </w:tcPr>
          <w:p w:rsidR="00076766" w:rsidRPr="005C790E" w:rsidRDefault="00076766" w:rsidP="00A72756">
            <w:pPr>
              <w:autoSpaceDE w:val="0"/>
              <w:autoSpaceDN w:val="0"/>
              <w:adjustRightInd w:val="0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34" w:type="dxa"/>
          </w:tcPr>
          <w:p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€ 318.931,01</w:t>
            </w:r>
          </w:p>
        </w:tc>
        <w:tc>
          <w:tcPr>
            <w:tcW w:w="1418" w:type="dxa"/>
          </w:tcPr>
          <w:p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€ 5.807,26</w:t>
            </w:r>
          </w:p>
        </w:tc>
        <w:tc>
          <w:tcPr>
            <w:tcW w:w="1417" w:type="dxa"/>
          </w:tcPr>
          <w:p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€ 45.384,51</w:t>
            </w:r>
          </w:p>
        </w:tc>
        <w:tc>
          <w:tcPr>
            <w:tcW w:w="1162" w:type="dxa"/>
          </w:tcPr>
          <w:p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€ 267.739,24</w:t>
            </w:r>
          </w:p>
        </w:tc>
      </w:tr>
    </w:tbl>
    <w:p w:rsidR="008438C4" w:rsidRDefault="008438C4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p w:rsidR="00A72756" w:rsidRPr="008438C4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8438C4">
        <w:rPr>
          <w:rFonts w:ascii="Times New Roman" w:hAnsi="Times New Roman" w:cs="Times New Roman"/>
          <w:color w:val="000000"/>
          <w:lang w:val="nl-NL"/>
        </w:rPr>
        <w:t>De zekerstellingen tegenover deze hypothecaire leningen zijn in de hypotheek-acte omschreven als: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</w:rPr>
      </w:pPr>
      <w:r w:rsidRPr="008438C4">
        <w:rPr>
          <w:rFonts w:ascii="Arial" w:hAnsi="Arial" w:cs="Arial"/>
          <w:color w:val="000002"/>
          <w:sz w:val="20"/>
          <w:szCs w:val="20"/>
          <w:lang w:val="nl-NL"/>
        </w:rPr>
        <w:t>“diverse opstallen met ondergrond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erf en verder toebehoren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staande en gelegen te 7</w:t>
      </w:r>
      <w:r>
        <w:rPr>
          <w:rFonts w:ascii="Arial" w:hAnsi="Arial" w:cs="Arial"/>
          <w:color w:val="000002"/>
          <w:sz w:val="20"/>
          <w:szCs w:val="20"/>
        </w:rPr>
        <w:t xml:space="preserve">722 JP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Dalfsen</w:t>
      </w:r>
      <w:proofErr w:type="spellEnd"/>
      <w:r>
        <w:rPr>
          <w:rFonts w:ascii="Arial" w:hAnsi="Arial" w:cs="Arial"/>
          <w:color w:val="000002"/>
          <w:sz w:val="20"/>
          <w:szCs w:val="20"/>
        </w:rPr>
        <w:t>,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</w:rPr>
      </w:pPr>
      <w:proofErr w:type="spellStart"/>
      <w:r>
        <w:rPr>
          <w:rFonts w:ascii="Arial" w:hAnsi="Arial" w:cs="Arial"/>
          <w:color w:val="000002"/>
          <w:sz w:val="20"/>
          <w:szCs w:val="20"/>
        </w:rPr>
        <w:t>Heinoseweg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2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2"/>
          <w:sz w:val="20"/>
          <w:szCs w:val="20"/>
        </w:rPr>
        <w:t>2 A en 6, kadastraal bekend gemeente Dalfsen sectie H nummer 1545, groot één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2"/>
          <w:sz w:val="20"/>
          <w:szCs w:val="20"/>
        </w:rPr>
        <w:t>hectare negenendertig are zestig centiare</w:t>
      </w:r>
      <w:r>
        <w:rPr>
          <w:rFonts w:ascii="Arial" w:hAnsi="Arial" w:cs="Arial"/>
          <w:color w:val="000000"/>
          <w:sz w:val="20"/>
          <w:szCs w:val="20"/>
        </w:rPr>
        <w:t>”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het saldo van baten en lasten is, evenals dit bij de vorige jaarrekening is gebeurd, de koerswinst op</w:t>
      </w:r>
    </w:p>
    <w:p w:rsidR="00A72756" w:rsidRPr="00753A2B" w:rsidRDefault="00A72756" w:rsidP="00A72756">
      <w:pPr>
        <w:rPr>
          <w:lang w:val="nl-NL"/>
        </w:rPr>
      </w:pPr>
      <w:r>
        <w:rPr>
          <w:rFonts w:ascii="Times New Roman" w:hAnsi="Times New Roman" w:cs="Times New Roman"/>
          <w:color w:val="000000"/>
        </w:rPr>
        <w:t xml:space="preserve">de effecten meegenomen. </w:t>
      </w:r>
      <w:r w:rsidRPr="00753A2B">
        <w:rPr>
          <w:rFonts w:ascii="Times New Roman" w:hAnsi="Times New Roman" w:cs="Times New Roman"/>
          <w:color w:val="000000"/>
          <w:lang w:val="nl-NL"/>
        </w:rPr>
        <w:t>In het jaar 201</w:t>
      </w:r>
      <w:r w:rsidR="00753A2B" w:rsidRPr="00753A2B">
        <w:rPr>
          <w:rFonts w:ascii="Times New Roman" w:hAnsi="Times New Roman" w:cs="Times New Roman"/>
          <w:color w:val="000000"/>
          <w:lang w:val="nl-NL"/>
        </w:rPr>
        <w:t>4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 heeft een </w:t>
      </w:r>
      <w:r w:rsidR="00753A2B" w:rsidRPr="00753A2B">
        <w:rPr>
          <w:rFonts w:ascii="Times New Roman" w:hAnsi="Times New Roman" w:cs="Times New Roman"/>
          <w:color w:val="000000"/>
          <w:lang w:val="nl-NL"/>
        </w:rPr>
        <w:t xml:space="preserve">bescheiden </w:t>
      </w:r>
      <w:r w:rsidRPr="00753A2B">
        <w:rPr>
          <w:rFonts w:ascii="Times New Roman" w:hAnsi="Times New Roman" w:cs="Times New Roman"/>
          <w:color w:val="000000"/>
          <w:lang w:val="nl-NL"/>
        </w:rPr>
        <w:t>koersstijging plaatsgevonden.</w:t>
      </w:r>
    </w:p>
    <w:p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Bestemming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voordelig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saldo</w:t>
      </w:r>
      <w:proofErr w:type="spellEnd"/>
    </w:p>
    <w:p w:rsidR="00A72756" w:rsidRPr="00753A2B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753A2B">
        <w:rPr>
          <w:rFonts w:ascii="Times New Roman" w:hAnsi="Times New Roman" w:cs="Times New Roman"/>
          <w:color w:val="000000"/>
          <w:lang w:val="nl-NL"/>
        </w:rPr>
        <w:t>Het voor</w:t>
      </w:r>
      <w:r w:rsidR="00753A2B" w:rsidRPr="00753A2B">
        <w:rPr>
          <w:rFonts w:ascii="Times New Roman" w:hAnsi="Times New Roman" w:cs="Times New Roman"/>
          <w:color w:val="000000"/>
          <w:lang w:val="nl-NL"/>
        </w:rPr>
        <w:t>delig sal</w:t>
      </w:r>
      <w:r w:rsidR="00753A2B">
        <w:rPr>
          <w:rFonts w:ascii="Times New Roman" w:hAnsi="Times New Roman" w:cs="Times New Roman"/>
          <w:color w:val="000000"/>
          <w:lang w:val="nl-NL"/>
        </w:rPr>
        <w:t xml:space="preserve">do ter waarde van € </w:t>
      </w:r>
      <w:r w:rsidR="008438C4">
        <w:rPr>
          <w:rFonts w:ascii="Times New Roman" w:hAnsi="Times New Roman" w:cs="Times New Roman"/>
          <w:color w:val="000000"/>
          <w:lang w:val="nl-NL"/>
        </w:rPr>
        <w:t>84.</w:t>
      </w:r>
      <w:r w:rsidR="00753A2B">
        <w:rPr>
          <w:rFonts w:ascii="Times New Roman" w:hAnsi="Times New Roman" w:cs="Times New Roman"/>
          <w:color w:val="000000"/>
          <w:lang w:val="nl-NL"/>
        </w:rPr>
        <w:t>407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 is overgebracht naar de overige reserves van het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stichtingskapitaal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Een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deel</w:t>
      </w:r>
      <w:proofErr w:type="spellEnd"/>
      <w:r>
        <w:rPr>
          <w:rFonts w:ascii="Times New Roman" w:hAnsi="Times New Roman" w:cs="Times New Roman"/>
          <w:color w:val="000000"/>
        </w:rPr>
        <w:t xml:space="preserve"> zal worden benut voor het aflossen van een gedeelte van de hypothecaire</w:t>
      </w:r>
    </w:p>
    <w:p w:rsidR="006234D3" w:rsidRDefault="00A72756" w:rsidP="00A72756">
      <w:r>
        <w:rPr>
          <w:rFonts w:ascii="Times New Roman" w:hAnsi="Times New Roman" w:cs="Times New Roman"/>
          <w:color w:val="000000"/>
        </w:rPr>
        <w:t>leningen.</w:t>
      </w:r>
    </w:p>
    <w:sectPr w:rsidR="006234D3" w:rsidSect="00A351AE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proofState w:spelling="clean" w:grammar="clean"/>
  <w:doNotTrackMoves/>
  <w:defaultTabStop w:val="708"/>
  <w:hyphenationZone w:val="425"/>
  <w:characterSpacingControl w:val="doNotCompress"/>
  <w:compat>
    <w:useFELayout/>
  </w:compat>
  <w:rsids>
    <w:rsidRoot w:val="00DF188D"/>
    <w:rsid w:val="00076766"/>
    <w:rsid w:val="000E30BF"/>
    <w:rsid w:val="00132451"/>
    <w:rsid w:val="00381BFA"/>
    <w:rsid w:val="003E2968"/>
    <w:rsid w:val="005C790E"/>
    <w:rsid w:val="006234D3"/>
    <w:rsid w:val="00657052"/>
    <w:rsid w:val="00670839"/>
    <w:rsid w:val="006B2E48"/>
    <w:rsid w:val="00753A2B"/>
    <w:rsid w:val="008438C4"/>
    <w:rsid w:val="008713FE"/>
    <w:rsid w:val="00942182"/>
    <w:rsid w:val="009D6E66"/>
    <w:rsid w:val="00A24B4D"/>
    <w:rsid w:val="00A351AE"/>
    <w:rsid w:val="00A72756"/>
    <w:rsid w:val="00AE448A"/>
    <w:rsid w:val="00C75036"/>
    <w:rsid w:val="00DF188D"/>
    <w:rsid w:val="00FF4E74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32451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table" w:styleId="Tabelraster">
    <w:name w:val="Table Grid"/>
    <w:basedOn w:val="Standaardtabel"/>
    <w:uiPriority w:val="59"/>
    <w:rsid w:val="00076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elijst1">
    <w:name w:val="Medium List 1"/>
    <w:basedOn w:val="Standaardtabe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chtearcering-accent1">
    <w:name w:val="Light Shading Accent 1"/>
    <w:basedOn w:val="Standaardtabel"/>
    <w:uiPriority w:val="60"/>
    <w:rsid w:val="008713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Shading-Accent1">
    <w:name w:val="Light Shading Accent 1"/>
    <w:basedOn w:val="TableNormal"/>
    <w:uiPriority w:val="60"/>
    <w:rsid w:val="008713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471</Words>
  <Characters>2687</Characters>
  <Application>Microsoft Macintosh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Ewoud van Dedem</cp:lastModifiedBy>
  <cp:revision>12</cp:revision>
  <dcterms:created xsi:type="dcterms:W3CDTF">2016-05-09T08:10:00Z</dcterms:created>
  <dcterms:modified xsi:type="dcterms:W3CDTF">2016-05-09T19:59:00Z</dcterms:modified>
</cp:coreProperties>
</file>