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57" w:rsidRPr="00006A76" w:rsidRDefault="005A4757"/>
    <w:p w:rsidR="006B36D8" w:rsidRDefault="005A4757">
      <w:r>
        <w:rPr>
          <w:noProof/>
          <w:lang w:eastAsia="nl-NL"/>
        </w:rPr>
        <w:drawing>
          <wp:inline distT="0" distB="0" distL="0" distR="0">
            <wp:extent cx="5760720" cy="1025148"/>
            <wp:effectExtent l="19050" t="0" r="0" b="0"/>
            <wp:docPr id="1" name="Picture 1" descr="C:\Users\JandeJong\AppData\Local\Microsoft\Windows\Temporary Internet Files\Content.Word\logo_o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deJong\AppData\Local\Microsoft\Windows\Temporary Internet Files\Content.Word\logo_oh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5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757" w:rsidRDefault="005A4757"/>
    <w:p w:rsidR="005A4757" w:rsidRDefault="005A4757" w:rsidP="000C779C">
      <w:pPr>
        <w:rPr>
          <w:sz w:val="96"/>
          <w:szCs w:val="96"/>
        </w:rPr>
      </w:pPr>
    </w:p>
    <w:p w:rsidR="005A4757" w:rsidRDefault="00721790" w:rsidP="005A4757">
      <w:pPr>
        <w:jc w:val="center"/>
        <w:rPr>
          <w:sz w:val="96"/>
          <w:szCs w:val="96"/>
        </w:rPr>
      </w:pPr>
      <w:r>
        <w:rPr>
          <w:sz w:val="96"/>
          <w:szCs w:val="96"/>
        </w:rPr>
        <w:t>Jaarrekening 2015</w:t>
      </w:r>
    </w:p>
    <w:p w:rsidR="005A4757" w:rsidRDefault="005A4757" w:rsidP="005A4757">
      <w:pPr>
        <w:jc w:val="center"/>
        <w:rPr>
          <w:sz w:val="96"/>
          <w:szCs w:val="96"/>
        </w:rPr>
      </w:pPr>
      <w:r>
        <w:rPr>
          <w:sz w:val="96"/>
          <w:szCs w:val="96"/>
        </w:rPr>
        <w:t>Stichting Media Houten</w:t>
      </w:r>
    </w:p>
    <w:p w:rsidR="005A4757" w:rsidRDefault="005A4757" w:rsidP="005A4757">
      <w:pPr>
        <w:jc w:val="center"/>
        <w:rPr>
          <w:sz w:val="96"/>
          <w:szCs w:val="96"/>
        </w:rPr>
      </w:pPr>
    </w:p>
    <w:p w:rsidR="005A4757" w:rsidRDefault="005A4757" w:rsidP="005A4757">
      <w:pPr>
        <w:jc w:val="center"/>
        <w:rPr>
          <w:sz w:val="96"/>
          <w:szCs w:val="96"/>
        </w:rPr>
      </w:pPr>
    </w:p>
    <w:p w:rsidR="005A4757" w:rsidRDefault="00721790" w:rsidP="005A4757">
      <w:pPr>
        <w:jc w:val="center"/>
        <w:rPr>
          <w:sz w:val="36"/>
          <w:szCs w:val="36"/>
        </w:rPr>
      </w:pPr>
      <w:r>
        <w:rPr>
          <w:sz w:val="36"/>
          <w:szCs w:val="36"/>
        </w:rPr>
        <w:t>Houten, 31 mei 2015</w:t>
      </w:r>
    </w:p>
    <w:p w:rsidR="005A4757" w:rsidRDefault="005A4757" w:rsidP="005A4757">
      <w:pPr>
        <w:jc w:val="center"/>
        <w:rPr>
          <w:sz w:val="36"/>
          <w:szCs w:val="36"/>
        </w:rPr>
      </w:pPr>
    </w:p>
    <w:p w:rsidR="005A4757" w:rsidRDefault="005A4757" w:rsidP="005A4757">
      <w:pPr>
        <w:jc w:val="center"/>
        <w:rPr>
          <w:sz w:val="36"/>
          <w:szCs w:val="36"/>
        </w:rPr>
      </w:pPr>
    </w:p>
    <w:p w:rsidR="005A4757" w:rsidRDefault="005A4757" w:rsidP="00A5372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Toel</w:t>
      </w:r>
      <w:r w:rsidR="00721790">
        <w:rPr>
          <w:sz w:val="36"/>
          <w:szCs w:val="36"/>
        </w:rPr>
        <w:t>ichting bij de jaarrekening 2015</w:t>
      </w:r>
    </w:p>
    <w:p w:rsidR="000C779C" w:rsidRPr="000C779C" w:rsidRDefault="00D23909" w:rsidP="000C779C">
      <w:pPr>
        <w:rPr>
          <w:sz w:val="24"/>
          <w:szCs w:val="24"/>
        </w:rPr>
      </w:pPr>
      <w:r>
        <w:rPr>
          <w:sz w:val="24"/>
          <w:szCs w:val="24"/>
        </w:rPr>
        <w:t>De rapportage bestaat uit:</w:t>
      </w:r>
    </w:p>
    <w:p w:rsidR="00CA5C67" w:rsidRDefault="00D23909" w:rsidP="00CA5C67">
      <w:pPr>
        <w:pStyle w:val="Lijstalinea"/>
        <w:numPr>
          <w:ilvl w:val="0"/>
          <w:numId w:val="1"/>
        </w:numPr>
        <w:spacing w:before="240"/>
        <w:rPr>
          <w:sz w:val="24"/>
          <w:szCs w:val="24"/>
        </w:rPr>
      </w:pPr>
      <w:proofErr w:type="spellStart"/>
      <w:r w:rsidRPr="006778B2">
        <w:rPr>
          <w:b/>
          <w:sz w:val="24"/>
          <w:szCs w:val="24"/>
          <w:u w:val="single"/>
        </w:rPr>
        <w:t>Ex</w:t>
      </w:r>
      <w:r w:rsidR="00721790" w:rsidRPr="006778B2">
        <w:rPr>
          <w:b/>
          <w:sz w:val="24"/>
          <w:szCs w:val="24"/>
          <w:u w:val="single"/>
        </w:rPr>
        <w:t>ploitatie-overzicht</w:t>
      </w:r>
      <w:proofErr w:type="spellEnd"/>
      <w:r w:rsidR="00721790" w:rsidRPr="006778B2">
        <w:rPr>
          <w:b/>
          <w:sz w:val="24"/>
          <w:szCs w:val="24"/>
          <w:u w:val="single"/>
        </w:rPr>
        <w:t xml:space="preserve"> 2015</w:t>
      </w:r>
      <w:r w:rsidRPr="006778B2">
        <w:rPr>
          <w:sz w:val="24"/>
          <w:szCs w:val="24"/>
          <w:u w:val="single"/>
        </w:rPr>
        <w:t>:</w:t>
      </w:r>
      <w:r w:rsidRPr="006778B2">
        <w:rPr>
          <w:sz w:val="24"/>
          <w:szCs w:val="24"/>
        </w:rPr>
        <w:t xml:space="preserve"> Hierin zijn de bedragen opgenomen van de baten en de lasten die be</w:t>
      </w:r>
      <w:r w:rsidR="000C779C" w:rsidRPr="006778B2">
        <w:rPr>
          <w:sz w:val="24"/>
          <w:szCs w:val="24"/>
        </w:rPr>
        <w:t xml:space="preserve">trekking hebben op het </w:t>
      </w:r>
      <w:r w:rsidR="00721790" w:rsidRPr="006778B2">
        <w:rPr>
          <w:sz w:val="24"/>
          <w:szCs w:val="24"/>
        </w:rPr>
        <w:t>jaar 2015</w:t>
      </w:r>
      <w:r w:rsidR="000C779C" w:rsidRPr="006778B2">
        <w:rPr>
          <w:sz w:val="24"/>
          <w:szCs w:val="24"/>
        </w:rPr>
        <w:t xml:space="preserve"> in vergelijking met de beg</w:t>
      </w:r>
      <w:r w:rsidR="00DA5439" w:rsidRPr="006778B2">
        <w:rPr>
          <w:sz w:val="24"/>
          <w:szCs w:val="24"/>
        </w:rPr>
        <w:t>roting voor dat jaar</w:t>
      </w:r>
      <w:r w:rsidR="000C779C" w:rsidRPr="006778B2">
        <w:rPr>
          <w:sz w:val="24"/>
          <w:szCs w:val="24"/>
        </w:rPr>
        <w:t>.</w:t>
      </w:r>
      <w:r w:rsidRPr="006778B2">
        <w:rPr>
          <w:sz w:val="24"/>
          <w:szCs w:val="24"/>
        </w:rPr>
        <w:t xml:space="preserve"> </w:t>
      </w:r>
      <w:r w:rsidR="000C779C" w:rsidRPr="006778B2">
        <w:rPr>
          <w:sz w:val="24"/>
          <w:szCs w:val="24"/>
        </w:rPr>
        <w:t>Bij de ba</w:t>
      </w:r>
      <w:r w:rsidR="00DA5439" w:rsidRPr="006778B2">
        <w:rPr>
          <w:sz w:val="24"/>
          <w:szCs w:val="24"/>
        </w:rPr>
        <w:t xml:space="preserve">ten is </w:t>
      </w:r>
      <w:r w:rsidR="00721790" w:rsidRPr="006778B2">
        <w:rPr>
          <w:sz w:val="24"/>
          <w:szCs w:val="24"/>
        </w:rPr>
        <w:t>de ontvangst voor het supporter</w:t>
      </w:r>
      <w:r w:rsidR="006778B2">
        <w:rPr>
          <w:sz w:val="24"/>
          <w:szCs w:val="24"/>
        </w:rPr>
        <w:t>-</w:t>
      </w:r>
      <w:r w:rsidR="00F8014E">
        <w:rPr>
          <w:sz w:val="24"/>
          <w:szCs w:val="24"/>
        </w:rPr>
        <w:t>plan veel</w:t>
      </w:r>
      <w:r w:rsidR="00721790" w:rsidRPr="006778B2">
        <w:rPr>
          <w:sz w:val="24"/>
          <w:szCs w:val="24"/>
        </w:rPr>
        <w:t xml:space="preserve"> lager uitgevallen, dan begroot was. De 8 supporters waarop gerekend was</w:t>
      </w:r>
      <w:r w:rsidR="00F8014E">
        <w:rPr>
          <w:sz w:val="24"/>
          <w:szCs w:val="24"/>
        </w:rPr>
        <w:t xml:space="preserve">, </w:t>
      </w:r>
      <w:r w:rsidR="00721790" w:rsidRPr="006778B2">
        <w:rPr>
          <w:sz w:val="24"/>
          <w:szCs w:val="24"/>
        </w:rPr>
        <w:t xml:space="preserve"> werden er slechts 2. Eveneens is voor de dekking van de afschrijving van de inventaris en </w:t>
      </w:r>
      <w:r w:rsidR="000F7107" w:rsidRPr="006778B2">
        <w:rPr>
          <w:sz w:val="24"/>
          <w:szCs w:val="24"/>
        </w:rPr>
        <w:t>computerapparatuur-</w:t>
      </w:r>
      <w:r w:rsidR="00721790" w:rsidRPr="006778B2">
        <w:rPr>
          <w:sz w:val="24"/>
          <w:szCs w:val="24"/>
        </w:rPr>
        <w:t>ap</w:t>
      </w:r>
      <w:r w:rsidR="00083CF5">
        <w:rPr>
          <w:sz w:val="24"/>
          <w:szCs w:val="24"/>
        </w:rPr>
        <w:t>paratuur een bedrag van</w:t>
      </w:r>
      <w:bookmarkStart w:id="0" w:name="_GoBack"/>
      <w:bookmarkEnd w:id="0"/>
      <w:r w:rsidR="00F8014E">
        <w:rPr>
          <w:sz w:val="24"/>
          <w:szCs w:val="24"/>
        </w:rPr>
        <w:t xml:space="preserve"> € 3.000) </w:t>
      </w:r>
      <w:r w:rsidR="00721790" w:rsidRPr="006778B2">
        <w:rPr>
          <w:sz w:val="24"/>
          <w:szCs w:val="24"/>
        </w:rPr>
        <w:t>vrijgevallen van de indertijd gevormde voorziening ter dekking van de afschrijvingskosten van de investeringen die gedaan zijn van het sp</w:t>
      </w:r>
      <w:r w:rsidR="006778B2">
        <w:rPr>
          <w:sz w:val="24"/>
          <w:szCs w:val="24"/>
        </w:rPr>
        <w:t xml:space="preserve">eciale budget van € 15.000, wat beheerd werd door </w:t>
      </w:r>
      <w:proofErr w:type="spellStart"/>
      <w:r w:rsidR="000C779C" w:rsidRPr="006778B2">
        <w:rPr>
          <w:sz w:val="24"/>
          <w:szCs w:val="24"/>
        </w:rPr>
        <w:t>vanH</w:t>
      </w:r>
      <w:r w:rsidR="00314E92" w:rsidRPr="006778B2">
        <w:rPr>
          <w:sz w:val="24"/>
          <w:szCs w:val="24"/>
        </w:rPr>
        <w:t>ou</w:t>
      </w:r>
      <w:r w:rsidR="006778B2" w:rsidRPr="006778B2">
        <w:rPr>
          <w:sz w:val="24"/>
          <w:szCs w:val="24"/>
        </w:rPr>
        <w:t>ten&amp;co</w:t>
      </w:r>
      <w:proofErr w:type="spellEnd"/>
      <w:r w:rsidR="006778B2" w:rsidRPr="006778B2">
        <w:rPr>
          <w:sz w:val="24"/>
          <w:szCs w:val="24"/>
        </w:rPr>
        <w:t xml:space="preserve">.  Dit budget is </w:t>
      </w:r>
      <w:proofErr w:type="spellStart"/>
      <w:r w:rsidR="006778B2" w:rsidRPr="006778B2">
        <w:rPr>
          <w:sz w:val="24"/>
          <w:szCs w:val="24"/>
        </w:rPr>
        <w:t>t.m</w:t>
      </w:r>
      <w:proofErr w:type="spellEnd"/>
      <w:r w:rsidR="006778B2" w:rsidRPr="006778B2">
        <w:rPr>
          <w:sz w:val="24"/>
          <w:szCs w:val="24"/>
        </w:rPr>
        <w:t>. 2014 geheel</w:t>
      </w:r>
      <w:r w:rsidR="006778B2">
        <w:rPr>
          <w:sz w:val="24"/>
          <w:szCs w:val="24"/>
        </w:rPr>
        <w:t xml:space="preserve"> opgebruikt</w:t>
      </w:r>
      <w:r w:rsidR="00314E92" w:rsidRPr="006778B2">
        <w:rPr>
          <w:sz w:val="24"/>
          <w:szCs w:val="24"/>
        </w:rPr>
        <w:t xml:space="preserve">. </w:t>
      </w:r>
      <w:r w:rsidR="006778B2">
        <w:rPr>
          <w:sz w:val="24"/>
          <w:szCs w:val="24"/>
        </w:rPr>
        <w:t xml:space="preserve">In verband met het afscheid van hoofdredacteur Arthur Vierboom en de voorzitter van het stichtingsbestuur Ger Kroes is in december 2015 in  cultuurcentrum </w:t>
      </w:r>
      <w:proofErr w:type="spellStart"/>
      <w:r w:rsidR="006778B2">
        <w:rPr>
          <w:sz w:val="24"/>
          <w:szCs w:val="24"/>
        </w:rPr>
        <w:t>Schoneveld</w:t>
      </w:r>
      <w:proofErr w:type="spellEnd"/>
      <w:r w:rsidR="006778B2">
        <w:rPr>
          <w:sz w:val="24"/>
          <w:szCs w:val="24"/>
        </w:rPr>
        <w:t xml:space="preserve"> een avondvullend </w:t>
      </w:r>
      <w:r w:rsidR="00E16FDB">
        <w:rPr>
          <w:sz w:val="24"/>
          <w:szCs w:val="24"/>
        </w:rPr>
        <w:t xml:space="preserve"> programma</w:t>
      </w:r>
      <w:r w:rsidR="006778B2">
        <w:rPr>
          <w:sz w:val="24"/>
          <w:szCs w:val="24"/>
        </w:rPr>
        <w:t xml:space="preserve"> </w:t>
      </w:r>
      <w:r w:rsidR="00E16FDB">
        <w:rPr>
          <w:sz w:val="24"/>
          <w:szCs w:val="24"/>
        </w:rPr>
        <w:t>naar het format van</w:t>
      </w:r>
      <w:r w:rsidR="006778B2">
        <w:rPr>
          <w:sz w:val="24"/>
          <w:szCs w:val="24"/>
        </w:rPr>
        <w:t xml:space="preserve"> ‘Zomergast</w:t>
      </w:r>
      <w:r w:rsidR="00F8014E">
        <w:rPr>
          <w:sz w:val="24"/>
          <w:szCs w:val="24"/>
        </w:rPr>
        <w:t xml:space="preserve">en’ gepresenteerd </w:t>
      </w:r>
      <w:r w:rsidR="00CA5C67">
        <w:rPr>
          <w:sz w:val="24"/>
          <w:szCs w:val="24"/>
        </w:rPr>
        <w:t xml:space="preserve">met vele gasten </w:t>
      </w:r>
      <w:r w:rsidR="006778B2">
        <w:rPr>
          <w:sz w:val="24"/>
          <w:szCs w:val="24"/>
        </w:rPr>
        <w:t>met een t</w:t>
      </w:r>
      <w:r w:rsidR="00E16FDB">
        <w:rPr>
          <w:sz w:val="24"/>
          <w:szCs w:val="24"/>
        </w:rPr>
        <w:t>erugblik op 5 jaar Omroep Hout</w:t>
      </w:r>
      <w:r w:rsidR="00CA5C67">
        <w:rPr>
          <w:sz w:val="24"/>
          <w:szCs w:val="24"/>
        </w:rPr>
        <w:t>en.</w:t>
      </w:r>
      <w:r w:rsidR="00F8014E">
        <w:rPr>
          <w:sz w:val="24"/>
          <w:szCs w:val="24"/>
        </w:rPr>
        <w:t xml:space="preserve"> Deze speciale avond werd ook live </w:t>
      </w:r>
      <w:r w:rsidR="006778B2">
        <w:rPr>
          <w:sz w:val="24"/>
          <w:szCs w:val="24"/>
        </w:rPr>
        <w:t>uitgezonden. Daa</w:t>
      </w:r>
      <w:r w:rsidR="00F8014E">
        <w:rPr>
          <w:sz w:val="24"/>
          <w:szCs w:val="24"/>
        </w:rPr>
        <w:t xml:space="preserve">r is ook een </w:t>
      </w:r>
      <w:r w:rsidR="00CA5C67">
        <w:rPr>
          <w:sz w:val="24"/>
          <w:szCs w:val="24"/>
        </w:rPr>
        <w:t xml:space="preserve">professionele beeld- en </w:t>
      </w:r>
      <w:proofErr w:type="spellStart"/>
      <w:r w:rsidR="00CA5C67">
        <w:rPr>
          <w:sz w:val="24"/>
          <w:szCs w:val="24"/>
        </w:rPr>
        <w:t>geluids</w:t>
      </w:r>
      <w:proofErr w:type="spellEnd"/>
      <w:r w:rsidR="00CA5C67">
        <w:rPr>
          <w:sz w:val="24"/>
          <w:szCs w:val="24"/>
        </w:rPr>
        <w:t xml:space="preserve"> -</w:t>
      </w:r>
      <w:r w:rsidR="006778B2">
        <w:rPr>
          <w:sz w:val="24"/>
          <w:szCs w:val="24"/>
        </w:rPr>
        <w:t xml:space="preserve">opname van gemaakt.  </w:t>
      </w:r>
      <w:r w:rsidR="00E16FDB">
        <w:rPr>
          <w:sz w:val="24"/>
          <w:szCs w:val="24"/>
        </w:rPr>
        <w:t xml:space="preserve">Om een en ander </w:t>
      </w:r>
      <w:r w:rsidR="006778B2">
        <w:rPr>
          <w:sz w:val="24"/>
          <w:szCs w:val="24"/>
        </w:rPr>
        <w:t xml:space="preserve">te bekostigen is </w:t>
      </w:r>
      <w:r w:rsidR="00F8014E">
        <w:rPr>
          <w:sz w:val="24"/>
          <w:szCs w:val="24"/>
        </w:rPr>
        <w:t xml:space="preserve">de </w:t>
      </w:r>
      <w:r w:rsidR="006778B2">
        <w:rPr>
          <w:sz w:val="24"/>
          <w:szCs w:val="24"/>
        </w:rPr>
        <w:t>in de beginjaren gevormde voorziening</w:t>
      </w:r>
      <w:r w:rsidR="00E16FDB">
        <w:rPr>
          <w:sz w:val="24"/>
          <w:szCs w:val="24"/>
        </w:rPr>
        <w:t xml:space="preserve"> voor een</w:t>
      </w:r>
      <w:r w:rsidR="006778B2">
        <w:rPr>
          <w:sz w:val="24"/>
          <w:szCs w:val="24"/>
        </w:rPr>
        <w:t xml:space="preserve"> radio- uitzending </w:t>
      </w:r>
      <w:r w:rsidR="00E16FDB">
        <w:rPr>
          <w:sz w:val="24"/>
          <w:szCs w:val="24"/>
        </w:rPr>
        <w:t xml:space="preserve">van </w:t>
      </w:r>
      <w:r w:rsidR="00F8014E">
        <w:rPr>
          <w:sz w:val="24"/>
          <w:szCs w:val="24"/>
        </w:rPr>
        <w:t xml:space="preserve"> </w:t>
      </w:r>
      <w:r w:rsidR="00E16FDB">
        <w:rPr>
          <w:sz w:val="24"/>
          <w:szCs w:val="24"/>
        </w:rPr>
        <w:t xml:space="preserve">€ 2.500 aangesproken. </w:t>
      </w:r>
      <w:r w:rsidR="006778B2">
        <w:rPr>
          <w:sz w:val="24"/>
          <w:szCs w:val="24"/>
        </w:rPr>
        <w:t xml:space="preserve">  </w:t>
      </w:r>
    </w:p>
    <w:p w:rsidR="000C779C" w:rsidRPr="00CA5C67" w:rsidRDefault="00A53727" w:rsidP="00CA5C67">
      <w:pPr>
        <w:pStyle w:val="Lijstalinea"/>
        <w:spacing w:before="240"/>
        <w:rPr>
          <w:sz w:val="24"/>
          <w:szCs w:val="24"/>
        </w:rPr>
      </w:pPr>
      <w:r w:rsidRPr="00CA5C67">
        <w:rPr>
          <w:sz w:val="24"/>
          <w:szCs w:val="24"/>
        </w:rPr>
        <w:t xml:space="preserve">De </w:t>
      </w:r>
      <w:r w:rsidR="00721790" w:rsidRPr="00CA5C67">
        <w:rPr>
          <w:sz w:val="24"/>
          <w:szCs w:val="24"/>
        </w:rPr>
        <w:t xml:space="preserve">exploitatierekening 2015 sluit </w:t>
      </w:r>
      <w:r w:rsidR="00E16FDB" w:rsidRPr="00CA5C67">
        <w:rPr>
          <w:sz w:val="24"/>
          <w:szCs w:val="24"/>
        </w:rPr>
        <w:t xml:space="preserve">uiteindelijk </w:t>
      </w:r>
      <w:r w:rsidR="00721790" w:rsidRPr="00CA5C67">
        <w:rPr>
          <w:sz w:val="24"/>
          <w:szCs w:val="24"/>
        </w:rPr>
        <w:t>met een nadelig saldo van € 683,02</w:t>
      </w:r>
      <w:r w:rsidR="00314E92" w:rsidRPr="00CA5C67">
        <w:rPr>
          <w:sz w:val="24"/>
          <w:szCs w:val="24"/>
        </w:rPr>
        <w:t xml:space="preserve">.  </w:t>
      </w:r>
    </w:p>
    <w:p w:rsidR="00F8014E" w:rsidRDefault="00F8014E" w:rsidP="00F8014E">
      <w:pPr>
        <w:pStyle w:val="Lijstalinea"/>
        <w:spacing w:before="240"/>
        <w:rPr>
          <w:sz w:val="24"/>
          <w:szCs w:val="24"/>
        </w:rPr>
      </w:pPr>
    </w:p>
    <w:p w:rsidR="000C779C" w:rsidRDefault="00F8014E" w:rsidP="00CA5C67">
      <w:pPr>
        <w:pStyle w:val="Lijstalinea"/>
        <w:spacing w:before="240"/>
        <w:rPr>
          <w:sz w:val="24"/>
          <w:szCs w:val="24"/>
        </w:rPr>
      </w:pPr>
      <w:r>
        <w:rPr>
          <w:sz w:val="24"/>
          <w:szCs w:val="24"/>
        </w:rPr>
        <w:t>In de vergadering van december 2015 heeft de gemeenteraad besloten positief te adviseren over de aanwijzing van de Omroep Houten als publieke omroep voor de gemeente Houten voor de periode 2016- 2020. Voor 2016 is het subsidiebedrag verhoogd naar  € 27.500. Voor 2017 en volgende jaren zal de structurele jaarlijkse subsidie onderdeel zijn van de integrale afwegingen bij het opstellen van de Perspectiefnota.</w:t>
      </w:r>
    </w:p>
    <w:p w:rsidR="00CA5C67" w:rsidRPr="00CA5C67" w:rsidRDefault="00CA5C67" w:rsidP="00CA5C67">
      <w:pPr>
        <w:pStyle w:val="Lijstalinea"/>
        <w:spacing w:before="240"/>
        <w:rPr>
          <w:sz w:val="24"/>
          <w:szCs w:val="24"/>
        </w:rPr>
      </w:pPr>
    </w:p>
    <w:p w:rsidR="005A4757" w:rsidRPr="00526A47" w:rsidRDefault="00E16FDB" w:rsidP="005A4757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Balans per 31.12 2015</w:t>
      </w:r>
      <w:r w:rsidR="000C779C">
        <w:rPr>
          <w:sz w:val="24"/>
          <w:szCs w:val="24"/>
        </w:rPr>
        <w:t xml:space="preserve">: </w:t>
      </w:r>
      <w:r w:rsidR="00D23909">
        <w:rPr>
          <w:sz w:val="24"/>
          <w:szCs w:val="24"/>
        </w:rPr>
        <w:t xml:space="preserve">Sinds de jaarrekening 2012 zijn we overgegaan </w:t>
      </w:r>
      <w:r w:rsidR="005A4757" w:rsidRPr="00D23909">
        <w:rPr>
          <w:sz w:val="24"/>
          <w:szCs w:val="24"/>
        </w:rPr>
        <w:t>naar een bedrijfsmatig ingerichte jaarrekening met o.a. de aa</w:t>
      </w:r>
      <w:r>
        <w:rPr>
          <w:sz w:val="24"/>
          <w:szCs w:val="24"/>
        </w:rPr>
        <w:t xml:space="preserve">nschaf en boekwaarde van álle investeringen ( óók die via het fonds bij </w:t>
      </w:r>
      <w:proofErr w:type="spellStart"/>
      <w:r>
        <w:rPr>
          <w:sz w:val="24"/>
          <w:szCs w:val="24"/>
        </w:rPr>
        <w:t>vanHouten&amp;co</w:t>
      </w:r>
      <w:proofErr w:type="spellEnd"/>
      <w:r>
        <w:rPr>
          <w:sz w:val="24"/>
          <w:szCs w:val="24"/>
        </w:rPr>
        <w:t xml:space="preserve"> zijn aangeschaft).</w:t>
      </w:r>
      <w:r w:rsidR="007B2947" w:rsidRPr="00D23909">
        <w:rPr>
          <w:sz w:val="24"/>
          <w:szCs w:val="24"/>
        </w:rPr>
        <w:t xml:space="preserve"> </w:t>
      </w:r>
      <w:r w:rsidR="005A4757" w:rsidRPr="00526A47">
        <w:rPr>
          <w:sz w:val="24"/>
          <w:szCs w:val="24"/>
        </w:rPr>
        <w:t>Om de aansluiting met de jaarrekening van de vorige jaren te behouden is</w:t>
      </w:r>
      <w:r w:rsidR="00526A47">
        <w:rPr>
          <w:sz w:val="24"/>
          <w:szCs w:val="24"/>
        </w:rPr>
        <w:t xml:space="preserve"> in 2012</w:t>
      </w:r>
      <w:r w:rsidR="000C779C">
        <w:rPr>
          <w:sz w:val="24"/>
          <w:szCs w:val="24"/>
        </w:rPr>
        <w:t xml:space="preserve"> een </w:t>
      </w:r>
      <w:r w:rsidR="00DA5439">
        <w:rPr>
          <w:sz w:val="24"/>
          <w:szCs w:val="24"/>
        </w:rPr>
        <w:t>voorziening voor de afschrijvingen van deze investeringen gevormd.</w:t>
      </w:r>
      <w:r w:rsidR="00E57004" w:rsidRPr="00526A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Van die voorziening is in 2015 € 3.100 </w:t>
      </w:r>
      <w:r w:rsidR="00DA5439">
        <w:rPr>
          <w:sz w:val="24"/>
          <w:szCs w:val="24"/>
        </w:rPr>
        <w:t>vrijgevallen.</w:t>
      </w:r>
      <w:r w:rsidR="000C779C">
        <w:rPr>
          <w:sz w:val="24"/>
          <w:szCs w:val="24"/>
        </w:rPr>
        <w:t xml:space="preserve"> </w:t>
      </w:r>
    </w:p>
    <w:p w:rsidR="00ED1ACF" w:rsidRDefault="00314E92" w:rsidP="00DA5439">
      <w:pPr>
        <w:ind w:left="708"/>
        <w:rPr>
          <w:sz w:val="24"/>
          <w:szCs w:val="24"/>
        </w:rPr>
      </w:pPr>
      <w:r>
        <w:rPr>
          <w:sz w:val="24"/>
          <w:szCs w:val="24"/>
        </w:rPr>
        <w:t>Het exploitatiesaldo g</w:t>
      </w:r>
      <w:r w:rsidR="00ED1ACF">
        <w:rPr>
          <w:sz w:val="24"/>
          <w:szCs w:val="24"/>
        </w:rPr>
        <w:t xml:space="preserve">evoegd bij het </w:t>
      </w:r>
      <w:r w:rsidR="00E16FDB">
        <w:rPr>
          <w:sz w:val="24"/>
          <w:szCs w:val="24"/>
        </w:rPr>
        <w:t xml:space="preserve">cumulatief batig saldo </w:t>
      </w:r>
      <w:proofErr w:type="spellStart"/>
      <w:r w:rsidR="00E16FDB">
        <w:rPr>
          <w:sz w:val="24"/>
          <w:szCs w:val="24"/>
        </w:rPr>
        <w:t>t.m</w:t>
      </w:r>
      <w:proofErr w:type="spellEnd"/>
      <w:r w:rsidR="00E16FDB">
        <w:rPr>
          <w:sz w:val="24"/>
          <w:szCs w:val="24"/>
        </w:rPr>
        <w:t>. 2014</w:t>
      </w:r>
      <w:r w:rsidR="00DA5439">
        <w:rPr>
          <w:sz w:val="24"/>
          <w:szCs w:val="24"/>
        </w:rPr>
        <w:t xml:space="preserve"> van € </w:t>
      </w:r>
      <w:r w:rsidR="00ED1ACF">
        <w:rPr>
          <w:sz w:val="24"/>
          <w:szCs w:val="24"/>
        </w:rPr>
        <w:t xml:space="preserve"> </w:t>
      </w:r>
      <w:r w:rsidR="00E16FDB">
        <w:rPr>
          <w:sz w:val="24"/>
          <w:szCs w:val="24"/>
        </w:rPr>
        <w:t xml:space="preserve">5.394,89 verminderd met het nadelige saldo van 2015 van € 683,02 </w:t>
      </w:r>
      <w:r w:rsidR="00ED1ACF">
        <w:rPr>
          <w:sz w:val="24"/>
          <w:szCs w:val="24"/>
        </w:rPr>
        <w:t>leid</w:t>
      </w:r>
      <w:r w:rsidR="00A53727">
        <w:rPr>
          <w:sz w:val="24"/>
          <w:szCs w:val="24"/>
        </w:rPr>
        <w:t>t</w:t>
      </w:r>
      <w:r w:rsidR="00E16FDB">
        <w:rPr>
          <w:sz w:val="24"/>
          <w:szCs w:val="24"/>
        </w:rPr>
        <w:t xml:space="preserve"> per balansdatum 31.12 2015</w:t>
      </w:r>
      <w:r w:rsidR="00ED1ACF">
        <w:rPr>
          <w:sz w:val="24"/>
          <w:szCs w:val="24"/>
        </w:rPr>
        <w:t xml:space="preserve"> tot e</w:t>
      </w:r>
      <w:r w:rsidR="00E16FDB">
        <w:rPr>
          <w:sz w:val="24"/>
          <w:szCs w:val="24"/>
        </w:rPr>
        <w:t>en eigen vermogen van € 4.711,87</w:t>
      </w:r>
    </w:p>
    <w:p w:rsidR="00E57004" w:rsidRDefault="00DA5439" w:rsidP="00DA5439">
      <w:pPr>
        <w:ind w:left="708"/>
        <w:rPr>
          <w:sz w:val="24"/>
          <w:szCs w:val="24"/>
        </w:rPr>
      </w:pPr>
      <w:r>
        <w:rPr>
          <w:sz w:val="24"/>
          <w:szCs w:val="24"/>
        </w:rPr>
        <w:t>Het totaal van de investeringen van de afgelopen jaren is € 30.930,38</w:t>
      </w:r>
      <w:r w:rsidR="00314E92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Daarop is inmiddels afgeschr</w:t>
      </w:r>
      <w:r w:rsidR="006B36D8">
        <w:rPr>
          <w:sz w:val="24"/>
          <w:szCs w:val="24"/>
        </w:rPr>
        <w:t>even € 23.821,83</w:t>
      </w:r>
      <w:r w:rsidR="00314E92">
        <w:rPr>
          <w:sz w:val="24"/>
          <w:szCs w:val="24"/>
        </w:rPr>
        <w:t>,</w:t>
      </w:r>
      <w:r w:rsidR="006B36D8">
        <w:rPr>
          <w:sz w:val="24"/>
          <w:szCs w:val="24"/>
        </w:rPr>
        <w:t xml:space="preserve"> zodat de boekwaarde € 7.108,75</w:t>
      </w:r>
      <w:r w:rsidR="00314E92">
        <w:rPr>
          <w:sz w:val="24"/>
          <w:szCs w:val="24"/>
        </w:rPr>
        <w:t xml:space="preserve"> is. </w:t>
      </w:r>
      <w:r>
        <w:rPr>
          <w:sz w:val="24"/>
          <w:szCs w:val="24"/>
        </w:rPr>
        <w:t xml:space="preserve"> </w:t>
      </w:r>
      <w:r w:rsidR="00ED1ACF">
        <w:rPr>
          <w:sz w:val="24"/>
          <w:szCs w:val="24"/>
        </w:rPr>
        <w:t xml:space="preserve">De </w:t>
      </w:r>
      <w:r w:rsidR="00ED1ACF">
        <w:rPr>
          <w:sz w:val="24"/>
          <w:szCs w:val="24"/>
        </w:rPr>
        <w:lastRenderedPageBreak/>
        <w:t xml:space="preserve">afschrijvingstermijn voor computer- en vergelijkbare apparatuur is gesteld op 3 jaar; de afschrijvingsduur van kantoormeubilair en soortgelijke activa is gesteld op 5 jaar. </w:t>
      </w:r>
    </w:p>
    <w:p w:rsidR="00DA5439" w:rsidRDefault="00DA5439" w:rsidP="00DA5439">
      <w:pPr>
        <w:ind w:left="708"/>
        <w:rPr>
          <w:sz w:val="24"/>
          <w:szCs w:val="24"/>
        </w:rPr>
      </w:pPr>
      <w:r>
        <w:rPr>
          <w:sz w:val="24"/>
          <w:szCs w:val="24"/>
        </w:rPr>
        <w:t>Onder de overlopende posten per b</w:t>
      </w:r>
      <w:r w:rsidR="006B36D8">
        <w:rPr>
          <w:sz w:val="24"/>
          <w:szCs w:val="24"/>
        </w:rPr>
        <w:t xml:space="preserve">alansdatum staan de </w:t>
      </w:r>
      <w:r w:rsidR="00CA5C67">
        <w:rPr>
          <w:sz w:val="24"/>
          <w:szCs w:val="24"/>
        </w:rPr>
        <w:t xml:space="preserve">‘vooruitbetaalde kosten’ </w:t>
      </w:r>
      <w:r w:rsidR="006B36D8">
        <w:rPr>
          <w:sz w:val="24"/>
          <w:szCs w:val="24"/>
        </w:rPr>
        <w:t xml:space="preserve">voor het jaarabonnement op de </w:t>
      </w:r>
      <w:proofErr w:type="spellStart"/>
      <w:r w:rsidR="006B36D8">
        <w:rPr>
          <w:sz w:val="24"/>
          <w:szCs w:val="24"/>
        </w:rPr>
        <w:t>mediahub</w:t>
      </w:r>
      <w:proofErr w:type="spellEnd"/>
      <w:r w:rsidR="006B36D8">
        <w:rPr>
          <w:sz w:val="24"/>
          <w:szCs w:val="24"/>
        </w:rPr>
        <w:t xml:space="preserve"> aan </w:t>
      </w:r>
      <w:proofErr w:type="spellStart"/>
      <w:r w:rsidR="006B36D8">
        <w:rPr>
          <w:sz w:val="24"/>
          <w:szCs w:val="24"/>
        </w:rPr>
        <w:t>Graphir</w:t>
      </w:r>
      <w:proofErr w:type="spellEnd"/>
      <w:r w:rsidR="00314E92">
        <w:rPr>
          <w:sz w:val="24"/>
          <w:szCs w:val="24"/>
        </w:rPr>
        <w:t xml:space="preserve">, </w:t>
      </w:r>
      <w:r w:rsidR="006B36D8">
        <w:rPr>
          <w:sz w:val="24"/>
          <w:szCs w:val="24"/>
        </w:rPr>
        <w:t xml:space="preserve">en onder de </w:t>
      </w:r>
      <w:r w:rsidR="00CA5C67">
        <w:rPr>
          <w:sz w:val="24"/>
          <w:szCs w:val="24"/>
        </w:rPr>
        <w:t>‘</w:t>
      </w:r>
      <w:r w:rsidR="006B36D8">
        <w:rPr>
          <w:sz w:val="24"/>
          <w:szCs w:val="24"/>
        </w:rPr>
        <w:t>nog te betalen kosten</w:t>
      </w:r>
      <w:r w:rsidR="00CA5C67">
        <w:rPr>
          <w:sz w:val="24"/>
          <w:szCs w:val="24"/>
        </w:rPr>
        <w:t>’</w:t>
      </w:r>
      <w:r w:rsidR="006B36D8">
        <w:rPr>
          <w:sz w:val="24"/>
          <w:szCs w:val="24"/>
        </w:rPr>
        <w:t xml:space="preserve"> o.a. de 4</w:t>
      </w:r>
      <w:r w:rsidR="006B36D8" w:rsidRPr="006B36D8">
        <w:rPr>
          <w:sz w:val="24"/>
          <w:szCs w:val="24"/>
          <w:vertAlign w:val="superscript"/>
        </w:rPr>
        <w:t>e</w:t>
      </w:r>
      <w:r w:rsidR="006B36D8">
        <w:rPr>
          <w:sz w:val="24"/>
          <w:szCs w:val="24"/>
        </w:rPr>
        <w:t xml:space="preserve"> kwartaalnota</w:t>
      </w:r>
      <w:r w:rsidR="00A53727">
        <w:rPr>
          <w:sz w:val="24"/>
          <w:szCs w:val="24"/>
        </w:rPr>
        <w:t xml:space="preserve"> 2014 </w:t>
      </w:r>
      <w:r>
        <w:rPr>
          <w:sz w:val="24"/>
          <w:szCs w:val="24"/>
        </w:rPr>
        <w:t xml:space="preserve">van </w:t>
      </w:r>
      <w:proofErr w:type="spellStart"/>
      <w:r w:rsidR="00A53727">
        <w:rPr>
          <w:sz w:val="24"/>
          <w:szCs w:val="24"/>
        </w:rPr>
        <w:t>vanHouten&amp;co</w:t>
      </w:r>
      <w:proofErr w:type="spellEnd"/>
      <w:r w:rsidR="00314E92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voor de huur van de studioruimte in </w:t>
      </w:r>
      <w:proofErr w:type="spellStart"/>
      <w:r w:rsidR="006B36D8">
        <w:rPr>
          <w:sz w:val="24"/>
          <w:szCs w:val="24"/>
        </w:rPr>
        <w:t>Schoneveld</w:t>
      </w:r>
      <w:proofErr w:type="spellEnd"/>
      <w:r w:rsidR="006B36D8">
        <w:rPr>
          <w:sz w:val="24"/>
          <w:szCs w:val="24"/>
        </w:rPr>
        <w:t>. Dit jaar is ni</w:t>
      </w:r>
      <w:r w:rsidR="00CA5C67">
        <w:rPr>
          <w:sz w:val="24"/>
          <w:szCs w:val="24"/>
        </w:rPr>
        <w:t>et zoals in 2014 in december</w:t>
      </w:r>
      <w:r w:rsidR="002C183E">
        <w:rPr>
          <w:sz w:val="24"/>
          <w:szCs w:val="24"/>
        </w:rPr>
        <w:t xml:space="preserve"> </w:t>
      </w:r>
      <w:proofErr w:type="spellStart"/>
      <w:r w:rsidR="002C183E">
        <w:rPr>
          <w:sz w:val="24"/>
          <w:szCs w:val="24"/>
        </w:rPr>
        <w:t>aktie</w:t>
      </w:r>
      <w:proofErr w:type="spellEnd"/>
      <w:r w:rsidR="002C183E">
        <w:rPr>
          <w:sz w:val="24"/>
          <w:szCs w:val="24"/>
        </w:rPr>
        <w:t xml:space="preserve"> voor </w:t>
      </w:r>
      <w:proofErr w:type="spellStart"/>
      <w:r w:rsidR="002C183E">
        <w:rPr>
          <w:sz w:val="24"/>
          <w:szCs w:val="24"/>
        </w:rPr>
        <w:t>Serious</w:t>
      </w:r>
      <w:proofErr w:type="spellEnd"/>
      <w:r w:rsidR="002C183E">
        <w:rPr>
          <w:sz w:val="24"/>
          <w:szCs w:val="24"/>
        </w:rPr>
        <w:t xml:space="preserve"> </w:t>
      </w:r>
      <w:proofErr w:type="spellStart"/>
      <w:r w:rsidR="002C183E">
        <w:rPr>
          <w:sz w:val="24"/>
          <w:szCs w:val="24"/>
        </w:rPr>
        <w:t>Request</w:t>
      </w:r>
      <w:proofErr w:type="spellEnd"/>
      <w:r w:rsidR="002C183E">
        <w:rPr>
          <w:sz w:val="24"/>
          <w:szCs w:val="24"/>
        </w:rPr>
        <w:t xml:space="preserve"> </w:t>
      </w:r>
      <w:r w:rsidR="006B36D8">
        <w:rPr>
          <w:sz w:val="24"/>
          <w:szCs w:val="24"/>
        </w:rPr>
        <w:t xml:space="preserve">gevoerd door Omroep Houten. Daardoor komt de overlopende post van de opbrengst van de </w:t>
      </w:r>
      <w:proofErr w:type="spellStart"/>
      <w:r w:rsidR="006B36D8">
        <w:rPr>
          <w:sz w:val="24"/>
          <w:szCs w:val="24"/>
        </w:rPr>
        <w:t>aktie</w:t>
      </w:r>
      <w:proofErr w:type="spellEnd"/>
      <w:r w:rsidR="006B36D8">
        <w:rPr>
          <w:sz w:val="24"/>
          <w:szCs w:val="24"/>
        </w:rPr>
        <w:t xml:space="preserve"> nu niet meer in de balans pr 31.12 2015 voor.</w:t>
      </w:r>
    </w:p>
    <w:p w:rsidR="003B012F" w:rsidRDefault="006B36D8" w:rsidP="005A4757">
      <w:pPr>
        <w:rPr>
          <w:sz w:val="24"/>
          <w:szCs w:val="24"/>
        </w:rPr>
      </w:pPr>
      <w:r>
        <w:rPr>
          <w:sz w:val="24"/>
          <w:szCs w:val="24"/>
        </w:rPr>
        <w:t xml:space="preserve">Houten, 31 mei </w:t>
      </w:r>
      <w:r w:rsidR="00DA5439">
        <w:rPr>
          <w:sz w:val="24"/>
          <w:szCs w:val="24"/>
        </w:rPr>
        <w:t>2015</w:t>
      </w:r>
    </w:p>
    <w:p w:rsidR="003B012F" w:rsidRDefault="003B012F" w:rsidP="00CA5C67">
      <w:pPr>
        <w:spacing w:after="0"/>
        <w:rPr>
          <w:sz w:val="24"/>
          <w:szCs w:val="24"/>
        </w:rPr>
      </w:pPr>
      <w:r>
        <w:rPr>
          <w:sz w:val="24"/>
          <w:szCs w:val="24"/>
        </w:rPr>
        <w:t>Jan de Jong</w:t>
      </w:r>
    </w:p>
    <w:p w:rsidR="00917EFF" w:rsidRDefault="003B012F" w:rsidP="005A4757">
      <w:pPr>
        <w:rPr>
          <w:sz w:val="24"/>
          <w:szCs w:val="24"/>
        </w:rPr>
      </w:pPr>
      <w:r>
        <w:rPr>
          <w:sz w:val="24"/>
          <w:szCs w:val="24"/>
        </w:rPr>
        <w:t>Penni</w:t>
      </w:r>
      <w:r w:rsidR="00917EFF">
        <w:rPr>
          <w:sz w:val="24"/>
          <w:szCs w:val="24"/>
        </w:rPr>
        <w:t>ngmeester Stichting Media Houten</w:t>
      </w: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917EFF" w:rsidRDefault="00917EFF" w:rsidP="005A4757">
      <w:pPr>
        <w:rPr>
          <w:b/>
          <w:sz w:val="24"/>
          <w:szCs w:val="24"/>
        </w:rPr>
      </w:pPr>
      <w:r>
        <w:rPr>
          <w:b/>
          <w:sz w:val="24"/>
          <w:szCs w:val="24"/>
        </w:rPr>
        <w:t>Jaarrekening 2015</w:t>
      </w:r>
    </w:p>
    <w:p w:rsidR="002C183E" w:rsidRDefault="002C183E" w:rsidP="005A4757">
      <w:pPr>
        <w:rPr>
          <w:b/>
          <w:sz w:val="24"/>
          <w:szCs w:val="24"/>
        </w:rPr>
      </w:pPr>
    </w:p>
    <w:p w:rsidR="002C183E" w:rsidRDefault="002C183E" w:rsidP="005A4757">
      <w:pPr>
        <w:rPr>
          <w:b/>
          <w:sz w:val="24"/>
          <w:szCs w:val="24"/>
        </w:rPr>
      </w:pPr>
    </w:p>
    <w:p w:rsidR="00917EFF" w:rsidRDefault="00917EFF" w:rsidP="005A4757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Exploitatie-overzicht</w:t>
      </w:r>
      <w:proofErr w:type="spellEnd"/>
      <w:r>
        <w:rPr>
          <w:b/>
          <w:sz w:val="24"/>
          <w:szCs w:val="24"/>
        </w:rPr>
        <w:t xml:space="preserve"> 2015 ( versus begroting 2015)</w:t>
      </w:r>
    </w:p>
    <w:p w:rsidR="00845922" w:rsidRDefault="00845922" w:rsidP="005A4757">
      <w:pPr>
        <w:rPr>
          <w:b/>
          <w:sz w:val="24"/>
          <w:szCs w:val="24"/>
        </w:rPr>
      </w:pPr>
    </w:p>
    <w:p w:rsidR="002C183E" w:rsidRPr="00917EFF" w:rsidRDefault="002C183E" w:rsidP="005A4757">
      <w:pPr>
        <w:rPr>
          <w:b/>
          <w:sz w:val="24"/>
          <w:szCs w:val="24"/>
        </w:rPr>
      </w:pPr>
    </w:p>
    <w:tbl>
      <w:tblPr>
        <w:tblW w:w="20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11709"/>
        <w:gridCol w:w="45"/>
        <w:gridCol w:w="962"/>
        <w:gridCol w:w="55"/>
        <w:gridCol w:w="1145"/>
        <w:gridCol w:w="81"/>
        <w:gridCol w:w="96"/>
        <w:gridCol w:w="215"/>
        <w:gridCol w:w="2045"/>
        <w:gridCol w:w="215"/>
        <w:gridCol w:w="1065"/>
        <w:gridCol w:w="215"/>
        <w:gridCol w:w="1085"/>
        <w:gridCol w:w="215"/>
        <w:gridCol w:w="885"/>
      </w:tblGrid>
      <w:tr w:rsidR="004D24C4" w:rsidRPr="004D24C4" w:rsidTr="00F224BA">
        <w:trPr>
          <w:gridBefore w:val="1"/>
          <w:gridAfter w:val="1"/>
          <w:wBefore w:w="65" w:type="dxa"/>
          <w:wAfter w:w="885" w:type="dxa"/>
          <w:trHeight w:val="140"/>
        </w:trPr>
        <w:tc>
          <w:tcPr>
            <w:tcW w:w="117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4C4" w:rsidRPr="004D24C4" w:rsidRDefault="004D24C4" w:rsidP="004D2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3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4C4" w:rsidRPr="004D24C4" w:rsidRDefault="004D24C4" w:rsidP="004D2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C71172" w:rsidRPr="00C71172" w:rsidTr="00845922">
        <w:trPr>
          <w:trHeight w:val="300"/>
        </w:trPr>
        <w:tc>
          <w:tcPr>
            <w:tcW w:w="1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9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60"/>
              <w:gridCol w:w="1293"/>
              <w:gridCol w:w="1134"/>
              <w:gridCol w:w="2835"/>
              <w:gridCol w:w="1134"/>
              <w:gridCol w:w="1134"/>
            </w:tblGrid>
            <w:tr w:rsidR="00845922" w:rsidRPr="00845922" w:rsidTr="00845922">
              <w:trPr>
                <w:trHeight w:val="300"/>
              </w:trPr>
              <w:tc>
                <w:tcPr>
                  <w:tcW w:w="2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922" w:rsidRPr="00845922" w:rsidRDefault="00845922" w:rsidP="008459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8459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Baten</w:t>
                  </w:r>
                </w:p>
              </w:tc>
              <w:tc>
                <w:tcPr>
                  <w:tcW w:w="1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922" w:rsidRPr="00845922" w:rsidRDefault="00845922" w:rsidP="008459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8459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Begroting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922" w:rsidRPr="00845922" w:rsidRDefault="00845922" w:rsidP="008459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8459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Realisatie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5922" w:rsidRPr="00845922" w:rsidRDefault="00845922" w:rsidP="008459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8459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Lasten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922" w:rsidRPr="00845922" w:rsidRDefault="00845922" w:rsidP="008459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8459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Begroting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922" w:rsidRPr="00845922" w:rsidRDefault="00845922" w:rsidP="0084592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8459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Realisatie</w:t>
                  </w:r>
                </w:p>
              </w:tc>
            </w:tr>
          </w:tbl>
          <w:p w:rsidR="00C71172" w:rsidRPr="00917EFF" w:rsidRDefault="00C71172" w:rsidP="00917EF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DE30D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c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Realisatie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Lasten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Begroting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  <w:r w:rsidRPr="00C7117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  <w:t>Realisatie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845922">
        <w:trPr>
          <w:trHeight w:val="5179"/>
        </w:trPr>
        <w:tc>
          <w:tcPr>
            <w:tcW w:w="1177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163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82"/>
              <w:gridCol w:w="1276"/>
              <w:gridCol w:w="1134"/>
              <w:gridCol w:w="2835"/>
              <w:gridCol w:w="1134"/>
              <w:gridCol w:w="1134"/>
              <w:gridCol w:w="1639"/>
            </w:tblGrid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Website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Bijdrage Gemeente Houten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€ 22.000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B93AFA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  </w:t>
                  </w:r>
                  <w:r w:rsidR="00917EF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    </w:t>
                  </w:r>
                  <w:r w:rsidR="00917EF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</w:t>
                  </w:r>
                  <w:r w:rsidR="00917EFF"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22.000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Flips</w:t>
                  </w:r>
                  <w:proofErr w:type="spellEnd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en </w:t>
                  </w:r>
                  <w:proofErr w:type="spellStart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tascams</w:t>
                  </w:r>
                  <w:proofErr w:type="spellEnd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voor nieuwe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Bijdragen </w:t>
                  </w:r>
                  <w:proofErr w:type="spellStart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supporterplan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€ 4.800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B93A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          € </w:t>
                  </w: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1.198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reporters 5 stuks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€ 700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€ 95</w:t>
                  </w: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Overige inkomsten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€ 500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B93AF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               €</w:t>
                  </w:r>
                  <w:r w:rsidR="00083C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1</w:t>
                  </w: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26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Hosting website Omroep Houten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€ 150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€ 175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Voorziening </w:t>
                  </w:r>
                  <w:proofErr w:type="spellStart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afschr</w:t>
                  </w:r>
                  <w:proofErr w:type="spellEnd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. investeringen </w:t>
                  </w:r>
                  <w:proofErr w:type="spellStart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vanHoutenenco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€ 3.000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B93AFA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           €</w:t>
                  </w:r>
                  <w:r w:rsidR="00917EF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083C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3.0</w:t>
                  </w:r>
                  <w:r w:rsidR="00917EFF"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00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Workshops en kennisverbreding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€ 600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€ 0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Vrijval voorziening Radio- uitzending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B93AFA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           €</w:t>
                  </w:r>
                  <w:r w:rsidR="00917EFF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917EFF"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2.500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Mediahub</w:t>
                  </w:r>
                  <w:proofErr w:type="spellEnd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abonnement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€ 2.400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€ 2.737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Exploitatietekort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B93AFA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              € </w:t>
                  </w:r>
                  <w:r w:rsidR="00917EFF"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683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€ 3.850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€ 3.007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Radio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Huur radiostudio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€ 6.000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€ 6.813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Inhuur specialisten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€ 0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Kosten radioteam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€ 1.500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€ 2.361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Radio-automatisering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€ 352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Verblijfkosten studio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€ 1.000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€ 1.037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€ 9.400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€ 10.563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Platform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Afschrijving apparatuur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€ 6.000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€ 7.793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Bijdrage aan OLON( </w:t>
                  </w:r>
                  <w:proofErr w:type="spellStart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incl.BUMA</w:t>
                  </w:r>
                  <w:proofErr w:type="spellEnd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€ 2.700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€ 2.784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Distributie kabelmaatschappijen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PM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Kosten </w:t>
                  </w:r>
                  <w:proofErr w:type="spellStart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streaming</w:t>
                  </w:r>
                  <w:proofErr w:type="spellEnd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€ 2.800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€ 1.409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€ 11.500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€ 11.986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TV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A5C67" w:rsidRPr="00DE30D2" w:rsidRDefault="00CA5C67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Lybrandt</w:t>
                  </w:r>
                  <w:proofErr w:type="spellEnd"/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telecom abonnement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€ 900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€ 1.497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Inhuur specialisten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€ 0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Kosten tekst-tv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€ 750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€ 0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€ 1.750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€ 1.497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Educatie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Opleidings- en trainingskosten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€ 500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€ 325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Radiotechniek/programma's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€ 0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€ 900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€ 325</w:t>
                  </w:r>
                </w:p>
              </w:tc>
              <w:tc>
                <w:tcPr>
                  <w:tcW w:w="1639" w:type="dxa"/>
                  <w:tcBorders>
                    <w:top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Transporteren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€ 30.300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B93AFA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        €  </w:t>
                  </w:r>
                  <w:r w:rsidR="00917EFF"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29.507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Transporteren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€ 27.400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€ 27.378</w:t>
                  </w:r>
                </w:p>
              </w:tc>
              <w:tc>
                <w:tcPr>
                  <w:tcW w:w="1639" w:type="dxa"/>
                </w:tcPr>
                <w:p w:rsidR="00917EFF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  <w:p w:rsidR="002C183E" w:rsidRDefault="002C183E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  <w:p w:rsidR="002C183E" w:rsidRPr="00DE30D2" w:rsidRDefault="002C183E" w:rsidP="002C18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CA5C67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45922" w:rsidRPr="00DE30D2" w:rsidRDefault="00845922" w:rsidP="00DE3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39" w:type="dxa"/>
                  <w:tcBorders>
                    <w:top w:val="nil"/>
                    <w:left w:val="nil"/>
                    <w:right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Transport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€ 30.300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B93AFA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  <w:r w:rsidR="00B93AFA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        € </w:t>
                  </w:r>
                  <w:r w:rsidRPr="00B93AFA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29.507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Transport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 xml:space="preserve">€ 27.400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€ 27.378</w:t>
                  </w:r>
                </w:p>
              </w:tc>
              <w:tc>
                <w:tcPr>
                  <w:tcW w:w="1639" w:type="dxa"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Promotiekosten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Promotiekosten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€ 500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€ 508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€ 500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€ 508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312C28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Algemene kosten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Bankkosten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€ 100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€ 112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Administratiekosten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€ 200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€ 60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Verzekeringen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€ 500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€ 399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Secretariaatskosten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€ 200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€ 50</w:t>
                  </w:r>
                </w:p>
              </w:tc>
              <w:tc>
                <w:tcPr>
                  <w:tcW w:w="1639" w:type="dxa"/>
                  <w:tcBorders>
                    <w:top w:val="nil"/>
                    <w:bottom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nl-NL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€ 1.000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€ 621</w:t>
                  </w:r>
                </w:p>
              </w:tc>
              <w:tc>
                <w:tcPr>
                  <w:tcW w:w="1639" w:type="dxa"/>
                  <w:tcBorders>
                    <w:top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Onvoorzien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€ 1.400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€ 1.000</w:t>
                  </w:r>
                </w:p>
              </w:tc>
              <w:tc>
                <w:tcPr>
                  <w:tcW w:w="1639" w:type="dxa"/>
                  <w:tcBorders>
                    <w:top w:val="nil"/>
                    <w:right w:val="nil"/>
                  </w:tcBorders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  <w:tr w:rsidR="00917EFF" w:rsidRPr="00DE30D2" w:rsidTr="00845922">
              <w:trPr>
                <w:trHeight w:val="300"/>
              </w:trPr>
              <w:tc>
                <w:tcPr>
                  <w:tcW w:w="24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Totaal baten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€ 30.300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B93AFA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        €</w:t>
                  </w:r>
                  <w:r w:rsidR="00917EF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  </w:t>
                  </w:r>
                  <w:r w:rsidR="00917EFF"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29.507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Totaal lasten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€ 30.300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DE30D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€ 29.507</w:t>
                  </w:r>
                </w:p>
              </w:tc>
              <w:tc>
                <w:tcPr>
                  <w:tcW w:w="1639" w:type="dxa"/>
                </w:tcPr>
                <w:p w:rsidR="00917EFF" w:rsidRPr="00DE30D2" w:rsidRDefault="00917EFF" w:rsidP="00DE30D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</w:tr>
          </w:tbl>
          <w:p w:rsid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  <w:p w:rsidR="002C183E" w:rsidRDefault="002C183E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  <w:p w:rsidR="002C183E" w:rsidRPr="00C71172" w:rsidRDefault="002C183E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F224BA">
        <w:trPr>
          <w:trHeight w:val="300"/>
        </w:trPr>
        <w:tc>
          <w:tcPr>
            <w:tcW w:w="11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2C183E">
        <w:trPr>
          <w:trHeight w:val="409"/>
        </w:trPr>
        <w:tc>
          <w:tcPr>
            <w:tcW w:w="117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F224BA">
        <w:trPr>
          <w:trHeight w:val="300"/>
        </w:trPr>
        <w:tc>
          <w:tcPr>
            <w:tcW w:w="1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24BA" w:rsidRPr="00917EFF" w:rsidRDefault="00F224BA" w:rsidP="00F224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Balans per 31.12 2015 ( versus 31.12 2014)</w:t>
            </w:r>
          </w:p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F224BA">
        <w:trPr>
          <w:trHeight w:val="300"/>
        </w:trPr>
        <w:tc>
          <w:tcPr>
            <w:tcW w:w="1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tbl>
            <w:tblPr>
              <w:tblW w:w="103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67"/>
              <w:gridCol w:w="1719"/>
              <w:gridCol w:w="1447"/>
              <w:gridCol w:w="2127"/>
              <w:gridCol w:w="1559"/>
              <w:gridCol w:w="1660"/>
            </w:tblGrid>
            <w:tr w:rsidR="00F224BA" w:rsidRPr="00F224BA" w:rsidTr="00845922">
              <w:trPr>
                <w:trHeight w:val="300"/>
              </w:trPr>
              <w:tc>
                <w:tcPr>
                  <w:tcW w:w="503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Balans Stichting  Media Houten per 31.12 2015- 31.12 2014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l-NL"/>
                    </w:rPr>
                  </w:pP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Activa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Bedrag  31.12 2014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Bedrag 31-12 2015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Passiva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Bedrag 31-12 2014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color w:val="000000"/>
                      <w:sz w:val="16"/>
                      <w:szCs w:val="16"/>
                      <w:lang w:eastAsia="nl-NL"/>
                    </w:rPr>
                    <w:t>Bedrag 31-12 2015</w:t>
                  </w: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Inventaris en computers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Aanschaf 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 30.930,38 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30.930,38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Batig saldo- eigen vermogen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5.394,89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083CF5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</w:t>
                  </w:r>
                  <w:r w:rsidR="00F224BA"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4.711,87 </w:t>
                  </w: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cum. Afschrijving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-16.028,73 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-23.821,63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Reserve t.b.v. radio-</w:t>
                  </w:r>
                  <w:proofErr w:type="spellStart"/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uitz</w:t>
                  </w:r>
                  <w:proofErr w:type="spellEnd"/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2.500,00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</w:t>
                  </w:r>
                  <w:r w:rsidR="00083CF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                            </w:t>
                  </w: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 </w:t>
                  </w: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 14.901,65 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7.108,75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Voorz. </w:t>
                  </w:r>
                  <w:proofErr w:type="spellStart"/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Afschr</w:t>
                  </w:r>
                  <w:proofErr w:type="spellEnd"/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. </w:t>
                  </w:r>
                  <w:proofErr w:type="spellStart"/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VH&amp;Co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4.700,00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083CF5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</w:t>
                  </w:r>
                  <w:r w:rsidR="00F224BA"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1.700,00 </w:t>
                  </w: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Vooruitbetaalde bedragen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                     -   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1.241,44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Nog te betalen kosten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2.904,95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083CF5" w:rsidP="008459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€             </w:t>
                  </w:r>
                  <w:r w:rsidR="00F224BA"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1.955,00</w:t>
                  </w: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Bank 31.12 </w:t>
                  </w: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    2.736,70 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    </w:t>
                  </w: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16,68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Aktie </w:t>
                  </w:r>
                  <w:proofErr w:type="spellStart"/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Serious</w:t>
                  </w:r>
                  <w:proofErr w:type="spellEnd"/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</w:t>
                  </w:r>
                  <w:proofErr w:type="spellStart"/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Request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2.138,51 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 xml:space="preserve"> - </w:t>
                  </w: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4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1660" w:type="dxa"/>
                  <w:tcBorders>
                    <w:top w:val="nil"/>
                    <w:left w:val="single" w:sz="4" w:space="0" w:color="auto"/>
                    <w:bottom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</w:tr>
            <w:tr w:rsidR="00F224BA" w:rsidRPr="00F224BA" w:rsidTr="00845922">
              <w:trPr>
                <w:trHeight w:val="300"/>
              </w:trPr>
              <w:tc>
                <w:tcPr>
                  <w:tcW w:w="1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Totaal</w:t>
                  </w:r>
                </w:p>
              </w:tc>
              <w:tc>
                <w:tcPr>
                  <w:tcW w:w="1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 17.638,35 </w:t>
                  </w: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8.366,87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17.638,35 </w:t>
                  </w:r>
                </w:p>
              </w:tc>
              <w:tc>
                <w:tcPr>
                  <w:tcW w:w="1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224BA" w:rsidRPr="00F224BA" w:rsidRDefault="00F224BA" w:rsidP="00F224B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</w:pPr>
                  <w:r w:rsidRPr="00F224B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16"/>
                      <w:szCs w:val="16"/>
                      <w:lang w:eastAsia="nl-NL"/>
                    </w:rPr>
                    <w:t xml:space="preserve"> €                   8.366,87 </w:t>
                  </w:r>
                </w:p>
              </w:tc>
            </w:tr>
          </w:tbl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  <w:tr w:rsidR="00C71172" w:rsidRPr="00C71172" w:rsidTr="00F224BA">
        <w:trPr>
          <w:trHeight w:val="300"/>
        </w:trPr>
        <w:tc>
          <w:tcPr>
            <w:tcW w:w="117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172" w:rsidRPr="00C71172" w:rsidRDefault="00C71172" w:rsidP="00C7117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nl-NL"/>
              </w:rPr>
            </w:pPr>
          </w:p>
        </w:tc>
      </w:tr>
    </w:tbl>
    <w:p w:rsidR="009D3EA0" w:rsidRDefault="009D3EA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D3EA0" w:rsidRDefault="009D3EA0" w:rsidP="005A4757">
      <w:pPr>
        <w:rPr>
          <w:sz w:val="24"/>
          <w:szCs w:val="24"/>
        </w:rPr>
      </w:pPr>
    </w:p>
    <w:p w:rsidR="00B40CD0" w:rsidRPr="005A4757" w:rsidRDefault="00B40CD0" w:rsidP="005A4757">
      <w:pPr>
        <w:rPr>
          <w:sz w:val="24"/>
          <w:szCs w:val="24"/>
        </w:rPr>
      </w:pPr>
    </w:p>
    <w:sectPr w:rsidR="00B40CD0" w:rsidRPr="005A4757" w:rsidSect="00663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A36AC"/>
    <w:multiLevelType w:val="hybridMultilevel"/>
    <w:tmpl w:val="4E547FD0"/>
    <w:lvl w:ilvl="0" w:tplc="12F6A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57"/>
    <w:rsid w:val="00006A76"/>
    <w:rsid w:val="000710E1"/>
    <w:rsid w:val="00083CF5"/>
    <w:rsid w:val="000C779C"/>
    <w:rsid w:val="000F7107"/>
    <w:rsid w:val="002C183E"/>
    <w:rsid w:val="00312C28"/>
    <w:rsid w:val="00314E92"/>
    <w:rsid w:val="003B012F"/>
    <w:rsid w:val="004D24C4"/>
    <w:rsid w:val="00526A47"/>
    <w:rsid w:val="005A4757"/>
    <w:rsid w:val="006636C3"/>
    <w:rsid w:val="006778B2"/>
    <w:rsid w:val="006B36D8"/>
    <w:rsid w:val="00721790"/>
    <w:rsid w:val="007B2947"/>
    <w:rsid w:val="00845922"/>
    <w:rsid w:val="00917EFF"/>
    <w:rsid w:val="009D3EA0"/>
    <w:rsid w:val="00A53727"/>
    <w:rsid w:val="00A6519E"/>
    <w:rsid w:val="00AF719A"/>
    <w:rsid w:val="00B40CD0"/>
    <w:rsid w:val="00B65479"/>
    <w:rsid w:val="00B83D1C"/>
    <w:rsid w:val="00B93AFA"/>
    <w:rsid w:val="00C71172"/>
    <w:rsid w:val="00CA5C67"/>
    <w:rsid w:val="00D23909"/>
    <w:rsid w:val="00DA5439"/>
    <w:rsid w:val="00DD6E73"/>
    <w:rsid w:val="00DE30D2"/>
    <w:rsid w:val="00E16FDB"/>
    <w:rsid w:val="00E57004"/>
    <w:rsid w:val="00ED1ACF"/>
    <w:rsid w:val="00F224BA"/>
    <w:rsid w:val="00F8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103FF-4A22-40B6-B6B4-FF88CDEF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636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A4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A475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3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CDA9-CCB9-4D2C-AEF6-93CD64C96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1035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JandeJong</dc:creator>
  <cp:lastModifiedBy>Jan de Jong</cp:lastModifiedBy>
  <cp:revision>8</cp:revision>
  <cp:lastPrinted>2016-08-04T07:02:00Z</cp:lastPrinted>
  <dcterms:created xsi:type="dcterms:W3CDTF">2016-08-03T11:44:00Z</dcterms:created>
  <dcterms:modified xsi:type="dcterms:W3CDTF">2016-08-04T07:35:00Z</dcterms:modified>
</cp:coreProperties>
</file>