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E1B" w:rsidRPr="00815C15" w:rsidRDefault="00BF1E1B" w:rsidP="00BF1E1B">
      <w:pPr>
        <w:pStyle w:val="Plattetekst"/>
        <w:jc w:val="left"/>
      </w:pPr>
    </w:p>
    <w:p w:rsidR="00BF1E1B" w:rsidRPr="00815C15" w:rsidRDefault="00BF1E1B" w:rsidP="00BF1E1B">
      <w:pPr>
        <w:pStyle w:val="Kop1"/>
        <w:rPr>
          <w:color w:val="auto"/>
        </w:rPr>
      </w:pPr>
      <w:bookmarkStart w:id="0" w:name="_Toc349724618"/>
      <w:bookmarkStart w:id="1" w:name="_Toc351176047"/>
      <w:bookmarkStart w:id="2" w:name="_Toc352387744"/>
      <w:bookmarkStart w:id="3" w:name="_Toc352742077"/>
      <w:bookmarkStart w:id="4" w:name="_Toc360258447"/>
      <w:bookmarkStart w:id="5" w:name="_Toc369573071"/>
      <w:bookmarkStart w:id="6" w:name="_Toc369673531"/>
      <w:bookmarkStart w:id="7" w:name="_Toc369673813"/>
      <w:bookmarkStart w:id="8" w:name="_Toc370106063"/>
      <w:bookmarkStart w:id="9" w:name="_Toc411413977"/>
      <w:bookmarkStart w:id="10" w:name="_Toc501250269"/>
      <w:bookmarkStart w:id="11" w:name="_Toc506370455"/>
      <w:bookmarkStart w:id="12" w:name="_Toc506371287"/>
      <w:bookmarkStart w:id="13" w:name="_Toc506371366"/>
      <w:bookmarkStart w:id="14" w:name="_Toc506372645"/>
      <w:bookmarkStart w:id="15" w:name="_Toc506793193"/>
      <w:bookmarkStart w:id="16" w:name="_Toc508686092"/>
      <w:bookmarkStart w:id="17" w:name="_Toc509042322"/>
      <w:bookmarkStart w:id="18" w:name="_Toc509042424"/>
      <w:bookmarkStart w:id="19" w:name="_Toc510435238"/>
      <w:bookmarkStart w:id="20" w:name="_Toc524244512"/>
      <w:bookmarkStart w:id="21" w:name="_Toc124753377"/>
      <w:bookmarkStart w:id="22" w:name="_Toc253426822"/>
      <w:bookmarkStart w:id="23" w:name="_Toc253491117"/>
      <w:bookmarkStart w:id="24" w:name="_Toc255560762"/>
      <w:bookmarkStart w:id="25" w:name="_Toc255562591"/>
      <w:bookmarkStart w:id="26" w:name="_Toc256521558"/>
      <w:bookmarkStart w:id="27" w:name="_Toc256521918"/>
      <w:bookmarkStart w:id="28" w:name="_Toc71195163"/>
      <w:r w:rsidRPr="00815C15">
        <w:rPr>
          <w:color w:val="auto"/>
        </w:rPr>
        <w:t xml:space="preserve">Geconsolideerde balans per </w:t>
      </w:r>
      <w:bookmarkEnd w:id="0"/>
      <w:bookmarkEnd w:id="1"/>
      <w:bookmarkEnd w:id="2"/>
      <w:bookmarkEnd w:id="3"/>
      <w:bookmarkEnd w:id="4"/>
      <w:r w:rsidRPr="00815C15">
        <w:rPr>
          <w:color w:val="auto"/>
        </w:rPr>
        <w:t xml:space="preserve">31 december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15C15">
        <w:rPr>
          <w:color w:val="auto"/>
        </w:rPr>
        <w:t>2020</w:t>
      </w:r>
      <w:bookmarkEnd w:id="28"/>
    </w:p>
    <w:p w:rsidR="00BF1E1B" w:rsidRPr="00815C15" w:rsidRDefault="00BF1E1B" w:rsidP="00BF1E1B">
      <w:pPr>
        <w:pStyle w:val="Plattetekst3"/>
        <w:rPr>
          <w:i/>
          <w:iCs/>
        </w:rPr>
      </w:pPr>
      <w:r w:rsidRPr="00815C15">
        <w:rPr>
          <w:i/>
          <w:iCs/>
        </w:rPr>
        <w:t>(vóór resultaatbestemming)</w:t>
      </w:r>
    </w:p>
    <w:p w:rsidR="00BF1E1B" w:rsidRPr="00815C15" w:rsidRDefault="00BF1E1B" w:rsidP="00BF1E1B">
      <w:pPr>
        <w:pStyle w:val="Plattetekst3"/>
        <w:rPr>
          <w:i/>
          <w:iCs/>
        </w:rPr>
      </w:pPr>
    </w:p>
    <w:tbl>
      <w:tblPr>
        <w:tblW w:w="0" w:type="auto"/>
        <w:tblLayout w:type="fixed"/>
        <w:tblCellMar>
          <w:left w:w="57" w:type="dxa"/>
          <w:right w:w="57" w:type="dxa"/>
        </w:tblCellMar>
        <w:tblLook w:val="0000" w:firstRow="0" w:lastRow="0" w:firstColumn="0" w:lastColumn="0" w:noHBand="0" w:noVBand="0"/>
      </w:tblPr>
      <w:tblGrid>
        <w:gridCol w:w="2750"/>
        <w:gridCol w:w="340"/>
        <w:gridCol w:w="964"/>
        <w:gridCol w:w="964"/>
        <w:gridCol w:w="964"/>
        <w:gridCol w:w="964"/>
      </w:tblGrid>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1928" w:type="dxa"/>
            <w:gridSpan w:val="2"/>
            <w:vAlign w:val="center"/>
          </w:tcPr>
          <w:p w:rsidR="00BF1E1B" w:rsidRPr="00815C15" w:rsidRDefault="00BF1E1B" w:rsidP="00B36801">
            <w:pPr>
              <w:spacing w:before="0" w:after="0" w:line="240" w:lineRule="auto"/>
              <w:jc w:val="right"/>
              <w:rPr>
                <w:b/>
                <w:sz w:val="18"/>
              </w:rPr>
            </w:pPr>
            <w:r w:rsidRPr="00815C15">
              <w:rPr>
                <w:b/>
                <w:sz w:val="18"/>
              </w:rPr>
              <w:t>2020</w:t>
            </w:r>
          </w:p>
        </w:tc>
        <w:tc>
          <w:tcPr>
            <w:tcW w:w="1928" w:type="dxa"/>
            <w:gridSpan w:val="2"/>
            <w:vAlign w:val="center"/>
          </w:tcPr>
          <w:p w:rsidR="00BF1E1B" w:rsidRPr="00815C15" w:rsidRDefault="00BF1E1B" w:rsidP="00B36801">
            <w:pPr>
              <w:spacing w:before="0" w:after="0" w:line="240" w:lineRule="auto"/>
              <w:jc w:val="right"/>
              <w:rPr>
                <w:sz w:val="18"/>
              </w:rPr>
            </w:pPr>
            <w:r w:rsidRPr="00815C15">
              <w:rPr>
                <w:sz w:val="18"/>
              </w:rPr>
              <w:t>2019</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EUR</w:t>
            </w:r>
          </w:p>
        </w:tc>
        <w:tc>
          <w:tcPr>
            <w:tcW w:w="964" w:type="dxa"/>
            <w:vAlign w:val="center"/>
          </w:tcPr>
          <w:p w:rsidR="00BF1E1B" w:rsidRPr="00815C15" w:rsidRDefault="00BF1E1B" w:rsidP="00B36801">
            <w:pPr>
              <w:spacing w:before="0" w:after="0" w:line="240" w:lineRule="auto"/>
              <w:jc w:val="right"/>
              <w:rPr>
                <w:b/>
                <w:sz w:val="18"/>
              </w:rPr>
            </w:pPr>
            <w:r w:rsidRPr="00815C15">
              <w:rPr>
                <w:b/>
                <w:sz w:val="18"/>
              </w:rPr>
              <w:t>EUR</w:t>
            </w:r>
          </w:p>
        </w:tc>
        <w:tc>
          <w:tcPr>
            <w:tcW w:w="964" w:type="dxa"/>
            <w:vAlign w:val="center"/>
          </w:tcPr>
          <w:p w:rsidR="00BF1E1B" w:rsidRPr="00815C15" w:rsidRDefault="00BF1E1B" w:rsidP="00B36801">
            <w:pPr>
              <w:spacing w:before="0" w:after="0" w:line="240" w:lineRule="auto"/>
              <w:jc w:val="right"/>
              <w:rPr>
                <w:sz w:val="18"/>
              </w:rPr>
            </w:pPr>
            <w:r w:rsidRPr="00815C15">
              <w:rPr>
                <w:sz w:val="18"/>
              </w:rPr>
              <w:t>EUR</w:t>
            </w:r>
          </w:p>
        </w:tc>
        <w:tc>
          <w:tcPr>
            <w:tcW w:w="964" w:type="dxa"/>
            <w:vAlign w:val="center"/>
          </w:tcPr>
          <w:p w:rsidR="00BF1E1B" w:rsidRPr="00815C15" w:rsidRDefault="00BF1E1B" w:rsidP="00B36801">
            <w:pPr>
              <w:spacing w:before="0" w:after="0" w:line="240" w:lineRule="auto"/>
              <w:jc w:val="right"/>
              <w:rPr>
                <w:sz w:val="18"/>
              </w:rPr>
            </w:pPr>
            <w:r w:rsidRPr="00815C15">
              <w:rPr>
                <w:sz w:val="18"/>
              </w:rPr>
              <w:t>EUR</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b/>
                <w:sz w:val="18"/>
              </w:rPr>
            </w:pPr>
            <w:r w:rsidRPr="00815C15">
              <w:rPr>
                <w:b/>
                <w:sz w:val="18"/>
              </w:rPr>
              <w:t>Vaste activa</w:t>
            </w: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r w:rsidRPr="00815C15">
              <w:rPr>
                <w:sz w:val="18"/>
              </w:rPr>
              <w:t>Materiële vaste activa</w:t>
            </w:r>
          </w:p>
        </w:tc>
        <w:tc>
          <w:tcPr>
            <w:tcW w:w="340" w:type="dxa"/>
            <w:vAlign w:val="bottom"/>
          </w:tcPr>
          <w:p w:rsidR="00BF1E1B" w:rsidRPr="00815C15" w:rsidRDefault="00BF1E1B" w:rsidP="00B36801">
            <w:pPr>
              <w:spacing w:before="0" w:after="0" w:line="240" w:lineRule="auto"/>
              <w:jc w:val="right"/>
              <w:rPr>
                <w:b/>
                <w:sz w:val="18"/>
              </w:rPr>
            </w:pPr>
            <w:r w:rsidRPr="00815C15">
              <w:rPr>
                <w:b/>
                <w:sz w:val="18"/>
              </w:rPr>
              <w:t>1</w:t>
            </w:r>
          </w:p>
        </w:tc>
        <w:tc>
          <w:tcPr>
            <w:tcW w:w="964" w:type="dxa"/>
            <w:vAlign w:val="center"/>
          </w:tcPr>
          <w:p w:rsidR="00BF1E1B" w:rsidRPr="00815C15" w:rsidRDefault="00BF1E1B" w:rsidP="00B36801">
            <w:pPr>
              <w:spacing w:before="0" w:after="0" w:line="240" w:lineRule="auto"/>
              <w:jc w:val="right"/>
              <w:rPr>
                <w:b/>
                <w:sz w:val="18"/>
              </w:rPr>
            </w:pPr>
            <w:r w:rsidRPr="00815C15">
              <w:rPr>
                <w:b/>
                <w:sz w:val="18"/>
              </w:rPr>
              <w:t>2.821</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3.616</w:t>
            </w: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top w:val="single" w:sz="4" w:space="0" w:color="auto"/>
            </w:tcBorders>
            <w:vAlign w:val="center"/>
          </w:tcPr>
          <w:p w:rsidR="00BF1E1B" w:rsidRPr="00815C15" w:rsidRDefault="00BF1E1B" w:rsidP="00B36801">
            <w:pPr>
              <w:spacing w:before="0" w:after="0" w:line="240" w:lineRule="auto"/>
              <w:jc w:val="right"/>
              <w:rPr>
                <w:b/>
                <w:sz w:val="18"/>
              </w:rPr>
            </w:pPr>
          </w:p>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2.821</w:t>
            </w:r>
          </w:p>
        </w:tc>
        <w:tc>
          <w:tcPr>
            <w:tcW w:w="964" w:type="dxa"/>
            <w:tcBorders>
              <w:top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3.616</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b/>
                <w:sz w:val="18"/>
              </w:rPr>
            </w:pPr>
            <w:r w:rsidRPr="00815C15">
              <w:rPr>
                <w:b/>
                <w:sz w:val="18"/>
              </w:rPr>
              <w:t>Vlottende activa</w:t>
            </w: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r w:rsidRPr="00815C15">
              <w:rPr>
                <w:sz w:val="18"/>
              </w:rPr>
              <w:t>Voorraden</w:t>
            </w: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44.035</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38.062</w:t>
            </w: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r w:rsidRPr="00815C15">
              <w:rPr>
                <w:sz w:val="18"/>
              </w:rPr>
              <w:t>Vorderingen</w:t>
            </w:r>
          </w:p>
        </w:tc>
        <w:tc>
          <w:tcPr>
            <w:tcW w:w="340" w:type="dxa"/>
            <w:vAlign w:val="bottom"/>
          </w:tcPr>
          <w:p w:rsidR="00BF1E1B" w:rsidRPr="00815C15" w:rsidRDefault="00BF1E1B" w:rsidP="00B36801">
            <w:pPr>
              <w:spacing w:before="0" w:after="0" w:line="240" w:lineRule="auto"/>
              <w:jc w:val="right"/>
              <w:rPr>
                <w:b/>
                <w:sz w:val="18"/>
              </w:rPr>
            </w:pPr>
            <w:r w:rsidRPr="00815C15">
              <w:rPr>
                <w:b/>
                <w:sz w:val="18"/>
              </w:rPr>
              <w:t>2</w:t>
            </w:r>
          </w:p>
        </w:tc>
        <w:tc>
          <w:tcPr>
            <w:tcW w:w="964" w:type="dxa"/>
            <w:vAlign w:val="center"/>
          </w:tcPr>
          <w:p w:rsidR="00BF1E1B" w:rsidRPr="00815C15" w:rsidRDefault="00BF1E1B" w:rsidP="00B36801">
            <w:pPr>
              <w:spacing w:before="0" w:after="0" w:line="240" w:lineRule="auto"/>
              <w:jc w:val="right"/>
              <w:rPr>
                <w:b/>
                <w:sz w:val="18"/>
              </w:rPr>
            </w:pPr>
            <w:r w:rsidRPr="00815C15">
              <w:rPr>
                <w:b/>
                <w:sz w:val="18"/>
              </w:rPr>
              <w:t>65.677</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31.647</w:t>
            </w: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r w:rsidRPr="00815C15">
              <w:rPr>
                <w:sz w:val="18"/>
              </w:rPr>
              <w:t>Liquide middelen</w:t>
            </w: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28.995</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88.202</w:t>
            </w: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138.707</w:t>
            </w:r>
          </w:p>
        </w:tc>
        <w:tc>
          <w:tcPr>
            <w:tcW w:w="964" w:type="dxa"/>
            <w:tcBorders>
              <w:top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157.911</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top w:val="single" w:sz="4" w:space="0" w:color="auto"/>
              <w:bottom w:val="double" w:sz="4" w:space="0" w:color="auto"/>
            </w:tcBorders>
            <w:vAlign w:val="center"/>
          </w:tcPr>
          <w:p w:rsidR="00BF1E1B" w:rsidRPr="00815C15" w:rsidRDefault="00BF1E1B" w:rsidP="00B36801">
            <w:pPr>
              <w:spacing w:before="0" w:after="0" w:line="240" w:lineRule="auto"/>
              <w:jc w:val="right"/>
              <w:rPr>
                <w:b/>
                <w:sz w:val="18"/>
              </w:rPr>
            </w:pPr>
            <w:r w:rsidRPr="00815C15">
              <w:rPr>
                <w:b/>
                <w:sz w:val="18"/>
              </w:rPr>
              <w:t>141.528</w:t>
            </w:r>
          </w:p>
        </w:tc>
        <w:tc>
          <w:tcPr>
            <w:tcW w:w="964" w:type="dxa"/>
            <w:vAlign w:val="center"/>
          </w:tcPr>
          <w:p w:rsidR="00BF1E1B" w:rsidRPr="00815C15" w:rsidRDefault="00BF1E1B" w:rsidP="00B36801">
            <w:pPr>
              <w:spacing w:before="0" w:after="0" w:line="240" w:lineRule="auto"/>
              <w:jc w:val="right"/>
              <w:rPr>
                <w:sz w:val="18"/>
              </w:rPr>
            </w:pPr>
          </w:p>
        </w:tc>
        <w:tc>
          <w:tcPr>
            <w:tcW w:w="964" w:type="dxa"/>
            <w:tcBorders>
              <w:top w:val="single" w:sz="4" w:space="0" w:color="auto"/>
              <w:bottom w:val="double" w:sz="4" w:space="0" w:color="auto"/>
            </w:tcBorders>
            <w:vAlign w:val="center"/>
          </w:tcPr>
          <w:p w:rsidR="00BF1E1B" w:rsidRPr="00815C15" w:rsidRDefault="00BF1E1B" w:rsidP="00B36801">
            <w:pPr>
              <w:spacing w:before="0" w:after="0" w:line="240" w:lineRule="auto"/>
              <w:jc w:val="right"/>
              <w:rPr>
                <w:sz w:val="18"/>
              </w:rPr>
            </w:pPr>
            <w:r w:rsidRPr="00815C15">
              <w:rPr>
                <w:sz w:val="18"/>
              </w:rPr>
              <w:t>161.527</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top w:val="doub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rPr>
                <w:sz w:val="18"/>
              </w:rPr>
            </w:pPr>
          </w:p>
        </w:tc>
        <w:tc>
          <w:tcPr>
            <w:tcW w:w="964" w:type="dxa"/>
            <w:tcBorders>
              <w:top w:val="doub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b/>
                <w:sz w:val="18"/>
              </w:rPr>
            </w:pPr>
            <w:r w:rsidRPr="00815C15">
              <w:rPr>
                <w:b/>
                <w:sz w:val="18"/>
              </w:rPr>
              <w:t>Groepsvermogen</w:t>
            </w: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r w:rsidRPr="00815C15">
              <w:rPr>
                <w:sz w:val="18"/>
              </w:rPr>
              <w:t>Eigen vermogen</w:t>
            </w:r>
          </w:p>
        </w:tc>
        <w:tc>
          <w:tcPr>
            <w:tcW w:w="340" w:type="dxa"/>
            <w:vAlign w:val="bottom"/>
          </w:tcPr>
          <w:p w:rsidR="00BF1E1B" w:rsidRPr="00815C15" w:rsidRDefault="00BF1E1B" w:rsidP="00B36801">
            <w:pPr>
              <w:spacing w:before="0" w:after="0" w:line="240" w:lineRule="auto"/>
              <w:jc w:val="right"/>
              <w:rPr>
                <w:b/>
                <w:sz w:val="18"/>
              </w:rPr>
            </w:pPr>
            <w:r w:rsidRPr="00815C15">
              <w:rPr>
                <w:b/>
                <w:sz w:val="18"/>
              </w:rPr>
              <w:t>3</w:t>
            </w:r>
          </w:p>
        </w:tc>
        <w:tc>
          <w:tcPr>
            <w:tcW w:w="964" w:type="dxa"/>
            <w:vAlign w:val="center"/>
          </w:tcPr>
          <w:p w:rsidR="00BF1E1B" w:rsidRPr="00815C15" w:rsidRDefault="00BF1E1B" w:rsidP="00B36801">
            <w:pPr>
              <w:spacing w:before="0" w:after="0" w:line="240" w:lineRule="auto"/>
              <w:jc w:val="right"/>
              <w:rPr>
                <w:b/>
                <w:sz w:val="18"/>
              </w:rPr>
            </w:pPr>
            <w:r w:rsidRPr="00815C15">
              <w:rPr>
                <w:b/>
                <w:sz w:val="18"/>
              </w:rPr>
              <w:t>43.638</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30.278</w:t>
            </w: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43.638</w:t>
            </w:r>
          </w:p>
        </w:tc>
        <w:tc>
          <w:tcPr>
            <w:tcW w:w="964" w:type="dxa"/>
            <w:tcBorders>
              <w:top w:val="single" w:sz="4" w:space="0" w:color="auto"/>
            </w:tcBorders>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30.278</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b/>
                <w:sz w:val="18"/>
              </w:rPr>
            </w:pPr>
            <w:r w:rsidRPr="00815C15">
              <w:rPr>
                <w:b/>
                <w:sz w:val="18"/>
              </w:rPr>
              <w:t>Kortlopende schulden</w:t>
            </w:r>
          </w:p>
        </w:tc>
        <w:tc>
          <w:tcPr>
            <w:tcW w:w="340" w:type="dxa"/>
            <w:vAlign w:val="bottom"/>
          </w:tcPr>
          <w:p w:rsidR="00BF1E1B" w:rsidRPr="00815C15" w:rsidRDefault="00BF1E1B" w:rsidP="00B36801">
            <w:pPr>
              <w:spacing w:before="0" w:after="0" w:line="240" w:lineRule="auto"/>
              <w:jc w:val="right"/>
              <w:rPr>
                <w:b/>
                <w:sz w:val="18"/>
              </w:rPr>
            </w:pPr>
            <w:r w:rsidRPr="00815C15">
              <w:rPr>
                <w:b/>
                <w:sz w:val="18"/>
              </w:rPr>
              <w:t>4</w:t>
            </w:r>
          </w:p>
        </w:tc>
        <w:tc>
          <w:tcPr>
            <w:tcW w:w="964" w:type="dxa"/>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r w:rsidRPr="00815C15">
              <w:rPr>
                <w:b/>
                <w:sz w:val="18"/>
              </w:rPr>
              <w:t>97.890</w:t>
            </w:r>
          </w:p>
        </w:tc>
        <w:tc>
          <w:tcPr>
            <w:tcW w:w="964" w:type="dxa"/>
            <w:vAlign w:val="center"/>
          </w:tcPr>
          <w:p w:rsidR="00BF1E1B" w:rsidRPr="00815C15" w:rsidRDefault="00BF1E1B" w:rsidP="00B36801">
            <w:pPr>
              <w:spacing w:before="0" w:after="0" w:line="240" w:lineRule="auto"/>
              <w:jc w:val="right"/>
              <w:rPr>
                <w:sz w:val="18"/>
              </w:rPr>
            </w:pPr>
          </w:p>
        </w:tc>
        <w:tc>
          <w:tcPr>
            <w:tcW w:w="964" w:type="dxa"/>
            <w:vAlign w:val="center"/>
          </w:tcPr>
          <w:p w:rsidR="00BF1E1B" w:rsidRPr="00815C15" w:rsidRDefault="00BF1E1B" w:rsidP="00B36801">
            <w:pPr>
              <w:spacing w:before="0" w:after="0" w:line="240" w:lineRule="auto"/>
              <w:jc w:val="right"/>
              <w:rPr>
                <w:sz w:val="18"/>
              </w:rPr>
            </w:pPr>
            <w:r w:rsidRPr="00815C15">
              <w:rPr>
                <w:sz w:val="18"/>
              </w:rPr>
              <w:t>131.249</w:t>
            </w: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sz w:val="18"/>
              </w:rPr>
            </w:pPr>
          </w:p>
        </w:tc>
        <w:tc>
          <w:tcPr>
            <w:tcW w:w="964" w:type="dxa"/>
            <w:tcBorders>
              <w:bottom w:val="sing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55"/>
        </w:trPr>
        <w:tc>
          <w:tcPr>
            <w:tcW w:w="2750" w:type="dxa"/>
            <w:vAlign w:val="center"/>
          </w:tcPr>
          <w:p w:rsidR="00BF1E1B" w:rsidRPr="00815C15" w:rsidRDefault="00BF1E1B" w:rsidP="00B36801">
            <w:pPr>
              <w:spacing w:before="0" w:after="0" w:line="240" w:lineRule="auto"/>
              <w:rPr>
                <w:sz w:val="18"/>
              </w:rPr>
            </w:pPr>
          </w:p>
        </w:tc>
        <w:tc>
          <w:tcPr>
            <w:tcW w:w="340" w:type="dxa"/>
            <w:vAlign w:val="bottom"/>
          </w:tcPr>
          <w:p w:rsidR="00BF1E1B" w:rsidRPr="00815C15" w:rsidRDefault="00BF1E1B" w:rsidP="00B36801">
            <w:pPr>
              <w:spacing w:before="0" w:after="0" w:line="240" w:lineRule="auto"/>
              <w:jc w:val="right"/>
              <w:rPr>
                <w:b/>
                <w:sz w:val="18"/>
              </w:rPr>
            </w:pPr>
          </w:p>
        </w:tc>
        <w:tc>
          <w:tcPr>
            <w:tcW w:w="964" w:type="dxa"/>
            <w:vAlign w:val="center"/>
          </w:tcPr>
          <w:p w:rsidR="00BF1E1B" w:rsidRPr="00815C15" w:rsidRDefault="00BF1E1B" w:rsidP="00B36801">
            <w:pPr>
              <w:spacing w:before="0" w:after="0" w:line="240" w:lineRule="auto"/>
              <w:jc w:val="right"/>
              <w:rPr>
                <w:b/>
                <w:sz w:val="18"/>
                <w:highlight w:val="yellow"/>
              </w:rPr>
            </w:pPr>
          </w:p>
        </w:tc>
        <w:tc>
          <w:tcPr>
            <w:tcW w:w="964" w:type="dxa"/>
            <w:tcBorders>
              <w:top w:val="single" w:sz="4" w:space="0" w:color="auto"/>
              <w:bottom w:val="double" w:sz="4" w:space="0" w:color="auto"/>
            </w:tcBorders>
            <w:vAlign w:val="center"/>
          </w:tcPr>
          <w:p w:rsidR="00BF1E1B" w:rsidRPr="00815C15" w:rsidRDefault="00BF1E1B" w:rsidP="00B36801">
            <w:pPr>
              <w:spacing w:before="0" w:after="0" w:line="240" w:lineRule="auto"/>
              <w:jc w:val="right"/>
              <w:rPr>
                <w:b/>
                <w:sz w:val="18"/>
              </w:rPr>
            </w:pPr>
            <w:r w:rsidRPr="00815C15">
              <w:rPr>
                <w:b/>
                <w:sz w:val="18"/>
              </w:rPr>
              <w:t>141.528</w:t>
            </w:r>
          </w:p>
        </w:tc>
        <w:tc>
          <w:tcPr>
            <w:tcW w:w="964" w:type="dxa"/>
            <w:vAlign w:val="center"/>
          </w:tcPr>
          <w:p w:rsidR="00BF1E1B" w:rsidRPr="00815C15" w:rsidRDefault="00BF1E1B" w:rsidP="00B36801">
            <w:pPr>
              <w:spacing w:before="0" w:after="0" w:line="240" w:lineRule="auto"/>
              <w:jc w:val="right"/>
              <w:rPr>
                <w:sz w:val="18"/>
                <w:highlight w:val="yellow"/>
              </w:rPr>
            </w:pPr>
          </w:p>
        </w:tc>
        <w:tc>
          <w:tcPr>
            <w:tcW w:w="964" w:type="dxa"/>
            <w:tcBorders>
              <w:top w:val="single" w:sz="4" w:space="0" w:color="auto"/>
              <w:bottom w:val="double" w:sz="4" w:space="0" w:color="auto"/>
            </w:tcBorders>
            <w:vAlign w:val="center"/>
          </w:tcPr>
          <w:p w:rsidR="00BF1E1B" w:rsidRPr="00815C15" w:rsidRDefault="00BF1E1B" w:rsidP="00B36801">
            <w:pPr>
              <w:spacing w:before="0" w:after="0" w:line="240" w:lineRule="auto"/>
              <w:jc w:val="right"/>
              <w:rPr>
                <w:sz w:val="18"/>
              </w:rPr>
            </w:pPr>
            <w:r w:rsidRPr="00815C15">
              <w:rPr>
                <w:sz w:val="18"/>
              </w:rPr>
              <w:t>161.527</w:t>
            </w:r>
          </w:p>
        </w:tc>
      </w:tr>
    </w:tbl>
    <w:p w:rsidR="00BF1E1B" w:rsidRPr="00815C15" w:rsidRDefault="00BF1E1B" w:rsidP="00BF1E1B">
      <w:pPr>
        <w:pStyle w:val="Plattetekst3"/>
        <w:rPr>
          <w:i/>
          <w:iCs/>
        </w:rPr>
      </w:pPr>
    </w:p>
    <w:p w:rsidR="00BF1E1B" w:rsidRPr="00815C15" w:rsidRDefault="00BF1E1B" w:rsidP="00BF1E1B">
      <w:pPr>
        <w:pStyle w:val="Plattetekst"/>
        <w:spacing w:before="0"/>
        <w:rPr>
          <w:sz w:val="18"/>
        </w:rPr>
      </w:pPr>
      <w:r w:rsidRPr="00815C15">
        <w:rPr>
          <w:sz w:val="18"/>
        </w:rPr>
        <w:br w:type="page"/>
      </w:r>
    </w:p>
    <w:p w:rsidR="00BF1E1B" w:rsidRPr="00815C15" w:rsidRDefault="00BF1E1B" w:rsidP="00BF1E1B">
      <w:pPr>
        <w:pStyle w:val="Kop1"/>
        <w:rPr>
          <w:color w:val="auto"/>
        </w:rPr>
      </w:pPr>
      <w:bookmarkStart w:id="29" w:name="_Toc501250271"/>
      <w:bookmarkStart w:id="30" w:name="_Toc506370456"/>
      <w:bookmarkStart w:id="31" w:name="_Toc506371288"/>
      <w:bookmarkStart w:id="32" w:name="_Toc506371367"/>
      <w:bookmarkStart w:id="33" w:name="_Toc506372646"/>
      <w:bookmarkStart w:id="34" w:name="_Toc506793194"/>
      <w:bookmarkStart w:id="35" w:name="_Toc508686093"/>
      <w:bookmarkStart w:id="36" w:name="_Toc509042323"/>
      <w:bookmarkStart w:id="37" w:name="_Toc509042425"/>
      <w:bookmarkStart w:id="38" w:name="_Toc510435239"/>
      <w:bookmarkStart w:id="39" w:name="_Toc524244513"/>
      <w:bookmarkStart w:id="40" w:name="_Toc124753378"/>
      <w:bookmarkStart w:id="41" w:name="_Toc253426823"/>
      <w:bookmarkStart w:id="42" w:name="_Toc253491118"/>
      <w:bookmarkStart w:id="43" w:name="_Toc255560763"/>
      <w:bookmarkStart w:id="44" w:name="_Toc255562592"/>
      <w:bookmarkStart w:id="45" w:name="_Toc256521559"/>
      <w:bookmarkStart w:id="46" w:name="_Toc256521919"/>
      <w:bookmarkStart w:id="47" w:name="_Toc256755292"/>
      <w:bookmarkStart w:id="48" w:name="_Toc286424306"/>
      <w:bookmarkStart w:id="49" w:name="_Toc320176368"/>
      <w:bookmarkStart w:id="50" w:name="_Toc71195164"/>
      <w:r w:rsidRPr="00815C15">
        <w:rPr>
          <w:color w:val="auto"/>
        </w:rPr>
        <w:lastRenderedPageBreak/>
        <w:t xml:space="preserve">Geconsolideerde staat van baten en lasten over </w:t>
      </w:r>
      <w:bookmarkStart w:id="51" w:name="_Toc181522720"/>
      <w:bookmarkStart w:id="52" w:name="_Toc506370459"/>
      <w:bookmarkStart w:id="53" w:name="_Toc506371291"/>
      <w:bookmarkStart w:id="54" w:name="_Toc506371370"/>
      <w:bookmarkStart w:id="55" w:name="_Toc506372649"/>
      <w:bookmarkStart w:id="56" w:name="_Toc506793197"/>
      <w:bookmarkStart w:id="57" w:name="_Toc508686096"/>
      <w:bookmarkStart w:id="58" w:name="_Toc509042326"/>
      <w:bookmarkStart w:id="59" w:name="_Toc509042428"/>
      <w:bookmarkStart w:id="60" w:name="_Toc510435242"/>
      <w:bookmarkStart w:id="61" w:name="_Toc524244516"/>
      <w:bookmarkStart w:id="62" w:name="_Toc124753381"/>
      <w:bookmarkStart w:id="63" w:name="_Toc253426824"/>
      <w:bookmarkStart w:id="64" w:name="_Toc253491119"/>
      <w:bookmarkStart w:id="65" w:name="_Toc255560764"/>
      <w:bookmarkStart w:id="66" w:name="_Toc255562593"/>
      <w:bookmarkStart w:id="67" w:name="_Toc256521560"/>
      <w:bookmarkStart w:id="68" w:name="_Toc256521920"/>
      <w:bookmarkStart w:id="69" w:name="_Toc286424307"/>
      <w:bookmarkEnd w:id="29"/>
      <w:bookmarkEnd w:id="30"/>
      <w:bookmarkEnd w:id="31"/>
      <w:bookmarkEnd w:id="32"/>
      <w:bookmarkEnd w:id="33"/>
      <w:bookmarkEnd w:id="34"/>
      <w:bookmarkEnd w:id="35"/>
      <w:bookmarkEnd w:id="36"/>
      <w:bookmarkEnd w:id="37"/>
      <w:bookmarkEnd w:id="38"/>
      <w:bookmarkEnd w:id="39"/>
      <w:bookmarkEnd w:id="40"/>
      <w:r w:rsidRPr="00815C15">
        <w:rPr>
          <w:color w:val="auto"/>
        </w:rPr>
        <w:t>2020</w:t>
      </w:r>
      <w:bookmarkEnd w:id="50"/>
    </w:p>
    <w:tbl>
      <w:tblPr>
        <w:tblpPr w:leftFromText="180" w:rightFromText="180" w:vertAnchor="text" w:horzAnchor="margin" w:tblpXSpec="center" w:tblpY="811"/>
        <w:tblW w:w="0" w:type="auto"/>
        <w:jc w:val="center"/>
        <w:tblCellMar>
          <w:left w:w="57" w:type="dxa"/>
          <w:right w:w="57" w:type="dxa"/>
        </w:tblCellMar>
        <w:tblLook w:val="0000" w:firstRow="0" w:lastRow="0" w:firstColumn="0" w:lastColumn="0" w:noHBand="0" w:noVBand="0"/>
      </w:tblPr>
      <w:tblGrid>
        <w:gridCol w:w="3938"/>
        <w:gridCol w:w="297"/>
        <w:gridCol w:w="710"/>
        <w:gridCol w:w="849"/>
        <w:gridCol w:w="707"/>
        <w:gridCol w:w="844"/>
        <w:gridCol w:w="707"/>
        <w:gridCol w:w="844"/>
      </w:tblGrid>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gridSpan w:val="2"/>
            <w:vAlign w:val="center"/>
          </w:tcPr>
          <w:p w:rsidR="00BF1E1B" w:rsidRPr="00815C15" w:rsidRDefault="00BF1E1B" w:rsidP="00B36801">
            <w:pPr>
              <w:spacing w:before="0" w:after="0" w:line="240" w:lineRule="auto"/>
              <w:jc w:val="right"/>
              <w:rPr>
                <w:b/>
                <w:sz w:val="18"/>
              </w:rPr>
            </w:pPr>
            <w:r w:rsidRPr="00815C15">
              <w:rPr>
                <w:b/>
                <w:sz w:val="18"/>
              </w:rPr>
              <w:t>2020</w:t>
            </w:r>
          </w:p>
        </w:tc>
        <w:tc>
          <w:tcPr>
            <w:tcW w:w="0" w:type="auto"/>
            <w:gridSpan w:val="2"/>
            <w:vAlign w:val="center"/>
          </w:tcPr>
          <w:p w:rsidR="00BF1E1B" w:rsidRPr="00815C15" w:rsidRDefault="00BF1E1B" w:rsidP="00B36801">
            <w:pPr>
              <w:spacing w:before="0" w:after="0" w:line="240" w:lineRule="auto"/>
              <w:jc w:val="right"/>
              <w:rPr>
                <w:sz w:val="18"/>
              </w:rPr>
            </w:pPr>
            <w:r w:rsidRPr="00815C15">
              <w:rPr>
                <w:sz w:val="18"/>
              </w:rPr>
              <w:t>Begroting</w:t>
            </w:r>
          </w:p>
        </w:tc>
        <w:tc>
          <w:tcPr>
            <w:tcW w:w="0" w:type="auto"/>
            <w:gridSpan w:val="2"/>
            <w:vAlign w:val="center"/>
          </w:tcPr>
          <w:p w:rsidR="00BF1E1B" w:rsidRPr="00815C15" w:rsidRDefault="00BF1E1B" w:rsidP="00B36801">
            <w:pPr>
              <w:spacing w:before="0" w:after="0" w:line="240" w:lineRule="auto"/>
              <w:jc w:val="right"/>
              <w:rPr>
                <w:sz w:val="18"/>
              </w:rPr>
            </w:pPr>
            <w:r w:rsidRPr="00815C15">
              <w:rPr>
                <w:sz w:val="18"/>
              </w:rPr>
              <w:t>2019</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r w:rsidRPr="00815C15">
              <w:rPr>
                <w:b/>
                <w:sz w:val="18"/>
              </w:rPr>
              <w:t>EUR</w:t>
            </w:r>
          </w:p>
        </w:tc>
        <w:tc>
          <w:tcPr>
            <w:tcW w:w="0" w:type="auto"/>
            <w:vAlign w:val="center"/>
          </w:tcPr>
          <w:p w:rsidR="00BF1E1B" w:rsidRPr="00815C15" w:rsidRDefault="00BF1E1B" w:rsidP="00B36801">
            <w:pPr>
              <w:spacing w:before="0" w:after="0" w:line="240" w:lineRule="auto"/>
              <w:jc w:val="right"/>
              <w:rPr>
                <w:b/>
                <w:sz w:val="18"/>
              </w:rPr>
            </w:pPr>
            <w:r w:rsidRPr="00815C15">
              <w:rPr>
                <w:b/>
                <w:sz w:val="18"/>
              </w:rPr>
              <w:t>EUR</w:t>
            </w:r>
          </w:p>
        </w:tc>
        <w:tc>
          <w:tcPr>
            <w:tcW w:w="0" w:type="auto"/>
            <w:vAlign w:val="center"/>
          </w:tcPr>
          <w:p w:rsidR="00BF1E1B" w:rsidRPr="00815C15" w:rsidRDefault="00BF1E1B" w:rsidP="00B36801">
            <w:pPr>
              <w:spacing w:before="0" w:after="0" w:line="240" w:lineRule="auto"/>
              <w:jc w:val="right"/>
              <w:rPr>
                <w:sz w:val="18"/>
              </w:rPr>
            </w:pPr>
            <w:r w:rsidRPr="00815C15">
              <w:rPr>
                <w:sz w:val="18"/>
              </w:rPr>
              <w:t>EUR</w:t>
            </w:r>
          </w:p>
        </w:tc>
        <w:tc>
          <w:tcPr>
            <w:tcW w:w="0" w:type="auto"/>
            <w:vAlign w:val="center"/>
          </w:tcPr>
          <w:p w:rsidR="00BF1E1B" w:rsidRPr="00815C15" w:rsidRDefault="00BF1E1B" w:rsidP="00B36801">
            <w:pPr>
              <w:spacing w:before="0" w:after="0" w:line="240" w:lineRule="auto"/>
              <w:jc w:val="right"/>
              <w:rPr>
                <w:sz w:val="18"/>
              </w:rPr>
            </w:pPr>
            <w:r w:rsidRPr="00815C15">
              <w:rPr>
                <w:sz w:val="18"/>
              </w:rPr>
              <w:t>EUR</w:t>
            </w:r>
          </w:p>
        </w:tc>
        <w:tc>
          <w:tcPr>
            <w:tcW w:w="0" w:type="auto"/>
            <w:vAlign w:val="center"/>
          </w:tcPr>
          <w:p w:rsidR="00BF1E1B" w:rsidRPr="00815C15" w:rsidRDefault="00BF1E1B" w:rsidP="00B36801">
            <w:pPr>
              <w:spacing w:before="0" w:after="0" w:line="240" w:lineRule="auto"/>
              <w:jc w:val="right"/>
              <w:rPr>
                <w:sz w:val="18"/>
              </w:rPr>
            </w:pPr>
            <w:r w:rsidRPr="00815C15">
              <w:rPr>
                <w:sz w:val="18"/>
              </w:rPr>
              <w:t>EUR</w:t>
            </w:r>
          </w:p>
        </w:tc>
        <w:tc>
          <w:tcPr>
            <w:tcW w:w="0" w:type="auto"/>
            <w:vAlign w:val="center"/>
          </w:tcPr>
          <w:p w:rsidR="00BF1E1B" w:rsidRPr="00815C15" w:rsidRDefault="00BF1E1B" w:rsidP="00B36801">
            <w:pPr>
              <w:spacing w:before="0" w:after="0" w:line="240" w:lineRule="auto"/>
              <w:jc w:val="right"/>
              <w:rPr>
                <w:sz w:val="18"/>
              </w:rPr>
            </w:pPr>
            <w:r w:rsidRPr="00815C15">
              <w:rPr>
                <w:sz w:val="18"/>
              </w:rPr>
              <w:t>EUR</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Opbrengsten van geleverde producten en diensten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5</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r w:rsidRPr="00815C15">
              <w:rPr>
                <w:b/>
                <w:sz w:val="18"/>
              </w:rPr>
              <w:t>154.481</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218.500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259.384</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Subsidiebaten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6</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r w:rsidRPr="00815C15">
              <w:rPr>
                <w:b/>
                <w:sz w:val="18"/>
              </w:rPr>
              <w:t>481.525</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475.000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468.228</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Overige baten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7</w:t>
            </w: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b/>
                <w:sz w:val="18"/>
                <w:highlight w:val="green"/>
              </w:rPr>
            </w:pPr>
            <w:r w:rsidRPr="00815C15">
              <w:rPr>
                <w:b/>
                <w:sz w:val="18"/>
              </w:rPr>
              <w:t>367.120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 xml:space="preserve">485.000 </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highlight w:val="green"/>
              </w:rPr>
            </w:pPr>
            <w:r w:rsidRPr="00815C15">
              <w:rPr>
                <w:sz w:val="18"/>
              </w:rPr>
              <w:t>530.840</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b/>
                <w:sz w:val="18"/>
              </w:rPr>
            </w:pPr>
            <w:r w:rsidRPr="00815C15">
              <w:rPr>
                <w:b/>
                <w:sz w:val="18"/>
              </w:rPr>
              <w:t>Som</w:t>
            </w:r>
            <w:r w:rsidRPr="00815C15">
              <w:rPr>
                <w:b/>
                <w:w w:val="90"/>
                <w:sz w:val="18"/>
              </w:rPr>
              <w:t xml:space="preserve"> </w:t>
            </w:r>
            <w:r w:rsidRPr="00815C15">
              <w:rPr>
                <w:b/>
                <w:sz w:val="18"/>
              </w:rPr>
              <w:t>der bedrijfsopbrengsten</w:t>
            </w: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r w:rsidRPr="00815C15">
              <w:rPr>
                <w:b/>
                <w:sz w:val="18"/>
              </w:rPr>
              <w:t>1.003.126</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1.178.500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1.258.452</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center"/>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Inkoopwaarde van geleverde producten en diensten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8</w:t>
            </w:r>
          </w:p>
        </w:tc>
        <w:tc>
          <w:tcPr>
            <w:tcW w:w="0" w:type="auto"/>
            <w:vAlign w:val="center"/>
          </w:tcPr>
          <w:p w:rsidR="00BF1E1B" w:rsidRPr="00815C15" w:rsidRDefault="00BF1E1B" w:rsidP="00B36801">
            <w:pPr>
              <w:spacing w:before="0" w:after="0" w:line="240" w:lineRule="auto"/>
              <w:jc w:val="right"/>
              <w:rPr>
                <w:b/>
                <w:sz w:val="18"/>
              </w:rPr>
            </w:pPr>
            <w:r w:rsidRPr="00815C15">
              <w:rPr>
                <w:b/>
                <w:sz w:val="18"/>
              </w:rPr>
              <w:t>440.629</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571.500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599.024</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Personeelskosten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9</w:t>
            </w:r>
          </w:p>
        </w:tc>
        <w:tc>
          <w:tcPr>
            <w:tcW w:w="0" w:type="auto"/>
            <w:vAlign w:val="center"/>
          </w:tcPr>
          <w:p w:rsidR="00BF1E1B" w:rsidRPr="00815C15" w:rsidRDefault="00BF1E1B" w:rsidP="00B36801">
            <w:pPr>
              <w:spacing w:before="0" w:after="0" w:line="240" w:lineRule="auto"/>
              <w:jc w:val="right"/>
              <w:rPr>
                <w:b/>
                <w:sz w:val="18"/>
              </w:rPr>
            </w:pPr>
            <w:r w:rsidRPr="00815C15">
              <w:rPr>
                <w:b/>
                <w:sz w:val="18"/>
              </w:rPr>
              <w:t>417.432</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423.500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420.995</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Afschrijvingen op materiële vaste activa</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10</w:t>
            </w:r>
          </w:p>
        </w:tc>
        <w:tc>
          <w:tcPr>
            <w:tcW w:w="0" w:type="auto"/>
            <w:vAlign w:val="center"/>
          </w:tcPr>
          <w:p w:rsidR="00BF1E1B" w:rsidRPr="00815C15" w:rsidRDefault="00BF1E1B" w:rsidP="00B36801">
            <w:pPr>
              <w:spacing w:before="0" w:after="0" w:line="240" w:lineRule="auto"/>
              <w:jc w:val="right"/>
              <w:rPr>
                <w:b/>
                <w:sz w:val="18"/>
              </w:rPr>
            </w:pPr>
            <w:r w:rsidRPr="00815C15">
              <w:rPr>
                <w:b/>
                <w:sz w:val="18"/>
              </w:rPr>
              <w:t>795</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820</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Overige lasten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11</w:t>
            </w:r>
          </w:p>
        </w:tc>
        <w:tc>
          <w:tcPr>
            <w:tcW w:w="0" w:type="auto"/>
            <w:tcBorders>
              <w:bottom w:val="single" w:sz="4" w:space="0" w:color="auto"/>
            </w:tcBorders>
            <w:vAlign w:val="center"/>
          </w:tcPr>
          <w:p w:rsidR="00BF1E1B" w:rsidRPr="00815C15" w:rsidRDefault="00BF1E1B" w:rsidP="00B36801">
            <w:pPr>
              <w:spacing w:before="0" w:after="0" w:line="240" w:lineRule="auto"/>
              <w:jc w:val="right"/>
              <w:rPr>
                <w:b/>
                <w:sz w:val="18"/>
              </w:rPr>
            </w:pPr>
            <w:r w:rsidRPr="00815C15">
              <w:rPr>
                <w:b/>
                <w:sz w:val="18"/>
              </w:rPr>
              <w:t>125.112</w:t>
            </w: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177.500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216.399</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b/>
                <w:sz w:val="18"/>
              </w:rPr>
            </w:pPr>
            <w:r w:rsidRPr="00815C15">
              <w:rPr>
                <w:b/>
                <w:sz w:val="18"/>
              </w:rPr>
              <w:t>Som der bedrijfslasten</w:t>
            </w: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b/>
                <w:sz w:val="18"/>
              </w:rPr>
            </w:pPr>
            <w:r w:rsidRPr="00815C15">
              <w:rPr>
                <w:b/>
                <w:sz w:val="18"/>
              </w:rPr>
              <w:t>983.968</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1.172.500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1.237.238</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b/>
                <w:sz w:val="18"/>
              </w:rPr>
            </w:pPr>
            <w:r w:rsidRPr="00815C15">
              <w:rPr>
                <w:b/>
                <w:sz w:val="18"/>
              </w:rPr>
              <w:t>Bedrijfsresultaat</w:t>
            </w: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r w:rsidRPr="00815C15">
              <w:rPr>
                <w:b/>
                <w:sz w:val="18"/>
              </w:rPr>
              <w:t>19.158</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6.000</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21.214</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Rentebaten en soortgelijke opbrengsten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12</w:t>
            </w:r>
          </w:p>
        </w:tc>
        <w:tc>
          <w:tcPr>
            <w:tcW w:w="0" w:type="auto"/>
            <w:vAlign w:val="center"/>
          </w:tcPr>
          <w:p w:rsidR="00BF1E1B" w:rsidRPr="00815C15" w:rsidRDefault="00BF1E1B" w:rsidP="00B36801">
            <w:pPr>
              <w:spacing w:before="0" w:after="0" w:line="240" w:lineRule="auto"/>
              <w:jc w:val="right"/>
              <w:rPr>
                <w:b/>
                <w:sz w:val="18"/>
              </w:rPr>
            </w:pPr>
            <w:r w:rsidRPr="00815C15">
              <w:rPr>
                <w:b/>
                <w:sz w:val="18"/>
              </w:rPr>
              <w:t>6</w:t>
            </w:r>
          </w:p>
        </w:tc>
        <w:tc>
          <w:tcPr>
            <w:tcW w:w="0" w:type="auto"/>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w:t>
            </w:r>
          </w:p>
        </w:tc>
        <w:tc>
          <w:tcPr>
            <w:tcW w:w="0" w:type="auto"/>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r w:rsidRPr="00815C15">
              <w:rPr>
                <w:sz w:val="18"/>
              </w:rPr>
              <w:t>1</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r w:rsidRPr="00815C15">
              <w:rPr>
                <w:sz w:val="18"/>
              </w:rPr>
              <w:t>Rentelasten en soortgelijke kosten</w:t>
            </w:r>
          </w:p>
        </w:tc>
        <w:tc>
          <w:tcPr>
            <w:tcW w:w="0" w:type="auto"/>
            <w:vAlign w:val="bottom"/>
          </w:tcPr>
          <w:p w:rsidR="00BF1E1B" w:rsidRPr="00815C15" w:rsidRDefault="00BF1E1B" w:rsidP="00B36801">
            <w:pPr>
              <w:spacing w:before="0" w:after="0" w:line="240" w:lineRule="auto"/>
              <w:jc w:val="right"/>
              <w:rPr>
                <w:b/>
                <w:sz w:val="18"/>
              </w:rPr>
            </w:pPr>
            <w:r w:rsidRPr="00815C15">
              <w:rPr>
                <w:b/>
                <w:sz w:val="18"/>
              </w:rPr>
              <w:t>13</w:t>
            </w:r>
          </w:p>
        </w:tc>
        <w:tc>
          <w:tcPr>
            <w:tcW w:w="0" w:type="auto"/>
            <w:tcBorders>
              <w:bottom w:val="single" w:sz="4" w:space="0" w:color="auto"/>
            </w:tcBorders>
            <w:vAlign w:val="center"/>
          </w:tcPr>
          <w:p w:rsidR="00BF1E1B" w:rsidRPr="00815C15" w:rsidRDefault="00BF1E1B" w:rsidP="00B36801">
            <w:pPr>
              <w:spacing w:before="0" w:after="0" w:line="240" w:lineRule="auto"/>
              <w:jc w:val="right"/>
              <w:rPr>
                <w:b/>
                <w:sz w:val="18"/>
              </w:rPr>
            </w:pPr>
            <w:r w:rsidRPr="00815C15">
              <w:rPr>
                <w:b/>
                <w:sz w:val="18"/>
              </w:rPr>
              <w:t>5.804</w:t>
            </w: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6.000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6.385</w:t>
            </w: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b/>
                <w:sz w:val="18"/>
              </w:rPr>
            </w:pPr>
            <w:r w:rsidRPr="00815C15">
              <w:rPr>
                <w:b/>
                <w:sz w:val="18"/>
              </w:rPr>
              <w:t>-5.798</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-6.000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single" w:sz="4" w:space="0" w:color="auto"/>
            </w:tcBorders>
            <w:vAlign w:val="center"/>
          </w:tcPr>
          <w:p w:rsidR="00BF1E1B" w:rsidRPr="00815C15" w:rsidRDefault="00BF1E1B" w:rsidP="00B36801">
            <w:pPr>
              <w:spacing w:before="0" w:after="0" w:line="240" w:lineRule="auto"/>
              <w:jc w:val="right"/>
              <w:rPr>
                <w:sz w:val="18"/>
              </w:rPr>
            </w:pPr>
            <w:r w:rsidRPr="00815C15">
              <w:rPr>
                <w:sz w:val="18"/>
              </w:rPr>
              <w:t>-6.381</w:t>
            </w: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top w:val="sing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sz w:val="18"/>
              </w:rPr>
            </w:pP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sz w:val="18"/>
              </w:rPr>
            </w:pP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sz w:val="18"/>
              </w:rPr>
            </w:pPr>
          </w:p>
        </w:tc>
      </w:tr>
      <w:tr w:rsidR="00BF1E1B" w:rsidRPr="00815C15" w:rsidTr="00B36801">
        <w:trPr>
          <w:trHeight w:val="227"/>
          <w:jc w:val="center"/>
        </w:trPr>
        <w:tc>
          <w:tcPr>
            <w:tcW w:w="0" w:type="auto"/>
            <w:vAlign w:val="center"/>
          </w:tcPr>
          <w:p w:rsidR="00BF1E1B" w:rsidRPr="00815C15" w:rsidRDefault="00BF1E1B" w:rsidP="00B36801">
            <w:pPr>
              <w:spacing w:before="0" w:after="0" w:line="240" w:lineRule="auto"/>
              <w:rPr>
                <w:b/>
                <w:sz w:val="18"/>
              </w:rPr>
            </w:pPr>
            <w:r w:rsidRPr="00815C15">
              <w:rPr>
                <w:b/>
                <w:sz w:val="18"/>
              </w:rPr>
              <w:t>Resultaat boekjaar</w:t>
            </w:r>
          </w:p>
        </w:tc>
        <w:tc>
          <w:tcPr>
            <w:tcW w:w="0" w:type="auto"/>
            <w:vAlign w:val="bottom"/>
          </w:tcPr>
          <w:p w:rsidR="00BF1E1B" w:rsidRPr="00815C15" w:rsidRDefault="00BF1E1B" w:rsidP="00B36801">
            <w:pPr>
              <w:spacing w:before="0" w:after="0" w:line="240" w:lineRule="auto"/>
              <w:jc w:val="right"/>
              <w:rPr>
                <w:b/>
                <w:sz w:val="18"/>
              </w:rPr>
            </w:pPr>
          </w:p>
        </w:tc>
        <w:tc>
          <w:tcPr>
            <w:tcW w:w="0" w:type="auto"/>
            <w:vAlign w:val="center"/>
          </w:tcPr>
          <w:p w:rsidR="00BF1E1B" w:rsidRPr="00815C15" w:rsidRDefault="00BF1E1B" w:rsidP="00B36801">
            <w:pPr>
              <w:spacing w:before="0" w:after="0" w:line="240" w:lineRule="auto"/>
              <w:jc w:val="right"/>
              <w:rPr>
                <w:b/>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b/>
                <w:sz w:val="18"/>
              </w:rPr>
            </w:pPr>
            <w:r w:rsidRPr="00815C15">
              <w:rPr>
                <w:b/>
                <w:sz w:val="18"/>
              </w:rPr>
              <w:t>13.360</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sz w:val="18"/>
              </w:rPr>
            </w:pPr>
            <w:r w:rsidRPr="00815C15">
              <w:rPr>
                <w:sz w:val="18"/>
              </w:rPr>
              <w:t xml:space="preserve">- </w:t>
            </w:r>
          </w:p>
        </w:tc>
        <w:tc>
          <w:tcPr>
            <w:tcW w:w="0" w:type="auto"/>
            <w:vAlign w:val="center"/>
          </w:tcPr>
          <w:p w:rsidR="00BF1E1B" w:rsidRPr="00815C15" w:rsidRDefault="00BF1E1B" w:rsidP="00B36801">
            <w:pPr>
              <w:spacing w:before="0" w:after="0" w:line="240" w:lineRule="auto"/>
              <w:jc w:val="right"/>
              <w:rPr>
                <w:sz w:val="18"/>
              </w:rPr>
            </w:pPr>
          </w:p>
        </w:tc>
        <w:tc>
          <w:tcPr>
            <w:tcW w:w="0" w:type="auto"/>
            <w:tcBorders>
              <w:bottom w:val="double" w:sz="4" w:space="0" w:color="auto"/>
            </w:tcBorders>
            <w:vAlign w:val="center"/>
          </w:tcPr>
          <w:p w:rsidR="00BF1E1B" w:rsidRPr="00815C15" w:rsidRDefault="00BF1E1B" w:rsidP="00B36801">
            <w:pPr>
              <w:spacing w:before="0" w:after="0" w:line="240" w:lineRule="auto"/>
              <w:jc w:val="right"/>
              <w:rPr>
                <w:sz w:val="18"/>
              </w:rPr>
            </w:pPr>
            <w:r w:rsidRPr="00815C15">
              <w:rPr>
                <w:sz w:val="18"/>
              </w:rPr>
              <w:t>14.833</w:t>
            </w:r>
          </w:p>
        </w:tc>
      </w:tr>
    </w:tbl>
    <w:p w:rsidR="00BF1E1B" w:rsidRPr="00815C15" w:rsidRDefault="00BF1E1B" w:rsidP="00BF1E1B">
      <w:pPr>
        <w:pStyle w:val="Kop1"/>
        <w:rPr>
          <w:color w:val="auto"/>
        </w:rPr>
      </w:pPr>
      <w:r w:rsidRPr="00815C15">
        <w:rPr>
          <w:color w:val="auto"/>
        </w:rPr>
        <w:br w:type="page"/>
      </w:r>
      <w:bookmarkStart w:id="70" w:name="_Toc71195165"/>
      <w:r w:rsidRPr="00815C15">
        <w:rPr>
          <w:color w:val="auto"/>
        </w:rPr>
        <w:lastRenderedPageBreak/>
        <w:t xml:space="preserve">Toelichting behorende tot de geconsolideerde jaarrekening </w:t>
      </w:r>
      <w:bookmarkEnd w:id="41"/>
      <w:bookmarkEnd w:id="42"/>
      <w:bookmarkEnd w:id="43"/>
      <w:bookmarkEnd w:id="44"/>
      <w:bookmarkEnd w:id="45"/>
      <w:bookmarkEnd w:id="46"/>
      <w:bookmarkEnd w:id="47"/>
      <w:bookmarkEnd w:id="48"/>
      <w:bookmarkEnd w:id="49"/>
      <w:bookmarkEnd w:id="51"/>
      <w:bookmarkEnd w:id="63"/>
      <w:bookmarkEnd w:id="64"/>
      <w:bookmarkEnd w:id="65"/>
      <w:bookmarkEnd w:id="66"/>
      <w:bookmarkEnd w:id="67"/>
      <w:bookmarkEnd w:id="68"/>
      <w:bookmarkEnd w:id="69"/>
      <w:r w:rsidRPr="00815C15">
        <w:rPr>
          <w:color w:val="auto"/>
        </w:rPr>
        <w:t>2020</w:t>
      </w:r>
      <w:bookmarkEnd w:id="70"/>
    </w:p>
    <w:p w:rsidR="00BF1E1B" w:rsidRPr="00815C15" w:rsidRDefault="00BF1E1B" w:rsidP="00BF1E1B">
      <w:pPr>
        <w:pStyle w:val="Kop2"/>
      </w:pPr>
      <w:bookmarkStart w:id="71" w:name="_Toc181522721"/>
      <w:bookmarkStart w:id="72" w:name="_Toc253426825"/>
      <w:bookmarkStart w:id="73" w:name="_Toc253491120"/>
      <w:bookmarkStart w:id="74" w:name="_Toc253650386"/>
      <w:bookmarkStart w:id="75" w:name="_Toc255560765"/>
      <w:bookmarkStart w:id="76" w:name="_Toc255560980"/>
      <w:bookmarkStart w:id="77" w:name="_Toc255562594"/>
      <w:bookmarkStart w:id="78" w:name="_Toc255831738"/>
      <w:bookmarkStart w:id="79" w:name="_Toc256521561"/>
      <w:bookmarkStart w:id="80" w:name="_Toc256521921"/>
      <w:bookmarkStart w:id="81" w:name="_Toc71195166"/>
      <w:r w:rsidRPr="00815C15">
        <w:t>Algemeen</w:t>
      </w:r>
      <w:bookmarkEnd w:id="71"/>
      <w:bookmarkEnd w:id="72"/>
      <w:bookmarkEnd w:id="73"/>
      <w:bookmarkEnd w:id="74"/>
      <w:bookmarkEnd w:id="75"/>
      <w:bookmarkEnd w:id="76"/>
      <w:bookmarkEnd w:id="77"/>
      <w:bookmarkEnd w:id="78"/>
      <w:bookmarkEnd w:id="79"/>
      <w:bookmarkEnd w:id="80"/>
      <w:bookmarkEnd w:id="81"/>
    </w:p>
    <w:p w:rsidR="00BF1E1B" w:rsidRPr="00815C15" w:rsidRDefault="00BF1E1B" w:rsidP="00BF1E1B">
      <w:pPr>
        <w:pStyle w:val="Kop3"/>
        <w:rPr>
          <w:color w:val="auto"/>
        </w:rPr>
      </w:pPr>
      <w:bookmarkStart w:id="82" w:name="_Toc506793198"/>
      <w:bookmarkStart w:id="83" w:name="_Toc508686098"/>
      <w:bookmarkStart w:id="84" w:name="_Toc509042328"/>
      <w:bookmarkStart w:id="85" w:name="_Toc509042430"/>
      <w:bookmarkStart w:id="86" w:name="_Toc509125323"/>
      <w:bookmarkStart w:id="87" w:name="_Toc510435244"/>
      <w:bookmarkStart w:id="88" w:name="_Toc524244518"/>
      <w:bookmarkStart w:id="89" w:name="_Toc524244624"/>
      <w:bookmarkStart w:id="90" w:name="_Toc48971358"/>
      <w:bookmarkStart w:id="91" w:name="_Toc48988531"/>
      <w:bookmarkStart w:id="92" w:name="_Toc253491121"/>
      <w:bookmarkStart w:id="93" w:name="_Toc255560766"/>
      <w:bookmarkStart w:id="94" w:name="_Toc256521922"/>
      <w:r w:rsidRPr="00815C15">
        <w:rPr>
          <w:color w:val="auto"/>
        </w:rPr>
        <w:t>Relatie met dochtermaatschappij en voornaamste activiteiten</w:t>
      </w:r>
      <w:bookmarkEnd w:id="82"/>
      <w:bookmarkEnd w:id="83"/>
      <w:bookmarkEnd w:id="84"/>
      <w:bookmarkEnd w:id="85"/>
      <w:bookmarkEnd w:id="86"/>
      <w:bookmarkEnd w:id="87"/>
      <w:bookmarkEnd w:id="88"/>
      <w:bookmarkEnd w:id="89"/>
      <w:bookmarkEnd w:id="90"/>
      <w:bookmarkEnd w:id="91"/>
      <w:bookmarkEnd w:id="92"/>
      <w:bookmarkEnd w:id="93"/>
      <w:bookmarkEnd w:id="94"/>
    </w:p>
    <w:p w:rsidR="00BF1E1B" w:rsidRPr="00815C15" w:rsidRDefault="00BF1E1B" w:rsidP="00BF1E1B">
      <w:pPr>
        <w:jc w:val="both"/>
      </w:pPr>
      <w:r w:rsidRPr="00815C15">
        <w:t xml:space="preserve">Het Nexus Instituut, gevestigd te Amsterdam, is een Stichting en heeft 100% van de aandelen in bezit van Uitgeverij Nexus bv. De voornaamste activiteiten van de Stichting bestaan uit het uitgeven van het essayistisch tijdschrift </w:t>
      </w:r>
      <w:r w:rsidRPr="00815C15">
        <w:rPr>
          <w:i/>
        </w:rPr>
        <w:t>Nexus</w:t>
      </w:r>
      <w:r w:rsidRPr="00815C15">
        <w:t>, de publicatie van een of twee delen per jaar in de boekenreeks Nexus Bibliotheek en het organiseren van lezingen, masterclasses, symposia en conferenties.</w:t>
      </w:r>
    </w:p>
    <w:p w:rsidR="00BF1E1B" w:rsidRPr="00815C15" w:rsidRDefault="00BF1E1B" w:rsidP="00BF1E1B">
      <w:pPr>
        <w:pStyle w:val="Kop3"/>
        <w:rPr>
          <w:color w:val="auto"/>
        </w:rPr>
      </w:pPr>
      <w:bookmarkStart w:id="95" w:name="_Toc253491122"/>
      <w:bookmarkStart w:id="96" w:name="_Toc255560767"/>
      <w:bookmarkStart w:id="97" w:name="_Toc256521923"/>
      <w:r w:rsidRPr="00815C15">
        <w:rPr>
          <w:color w:val="auto"/>
        </w:rPr>
        <w:t>Verslaggevingsperiode</w:t>
      </w:r>
      <w:bookmarkEnd w:id="95"/>
      <w:bookmarkEnd w:id="96"/>
      <w:bookmarkEnd w:id="97"/>
    </w:p>
    <w:p w:rsidR="00BF1E1B" w:rsidRPr="00815C15" w:rsidRDefault="00BF1E1B" w:rsidP="00BF1E1B">
      <w:r w:rsidRPr="00815C15">
        <w:t>Deze jaarrekening is opgesteld uitgaande van een verslaggevingsperiode van een kalenderjaar.</w:t>
      </w:r>
    </w:p>
    <w:p w:rsidR="00BF1E1B" w:rsidRPr="00815C15" w:rsidRDefault="00BF1E1B" w:rsidP="00BF1E1B">
      <w:pPr>
        <w:pStyle w:val="Kop3"/>
        <w:rPr>
          <w:color w:val="auto"/>
        </w:rPr>
      </w:pPr>
      <w:bookmarkStart w:id="98" w:name="_Toc253491123"/>
      <w:bookmarkStart w:id="99" w:name="_Toc255560768"/>
      <w:bookmarkStart w:id="100" w:name="_Toc256521924"/>
      <w:r w:rsidRPr="00815C15">
        <w:rPr>
          <w:color w:val="auto"/>
        </w:rPr>
        <w:t>Toegepaste standaarden</w:t>
      </w:r>
      <w:bookmarkEnd w:id="98"/>
      <w:bookmarkEnd w:id="99"/>
      <w:bookmarkEnd w:id="100"/>
      <w:r w:rsidRPr="00815C15">
        <w:rPr>
          <w:color w:val="auto"/>
        </w:rPr>
        <w:t xml:space="preserve"> </w:t>
      </w:r>
    </w:p>
    <w:p w:rsidR="00BF1E1B" w:rsidRPr="00815C15" w:rsidRDefault="00BF1E1B" w:rsidP="00BF1E1B">
      <w:pPr>
        <w:jc w:val="both"/>
      </w:pPr>
      <w:r w:rsidRPr="00815C15">
        <w:t xml:space="preserve">De jaarrekening is opgesteld volgens de wettelijke bepalingen van Titel 9 Boek 2 van het Burgerlijk Wetboek. Hierbij is richtlijn 640 voor de jaarverslaggeving gevolgd. De grondslagen die worden toegepast voor de waardering van activa en passiva en de resultaatbepaling zijn gebaseerd op nominale waarde. </w:t>
      </w:r>
    </w:p>
    <w:p w:rsidR="00BF1E1B" w:rsidRPr="00815C15" w:rsidRDefault="00BF1E1B" w:rsidP="00BF1E1B">
      <w:pPr>
        <w:pStyle w:val="Kop3"/>
        <w:rPr>
          <w:color w:val="auto"/>
        </w:rPr>
      </w:pPr>
      <w:bookmarkStart w:id="101" w:name="_Toc253491124"/>
      <w:bookmarkStart w:id="102" w:name="_Toc255560769"/>
      <w:bookmarkStart w:id="103" w:name="_Toc256521925"/>
      <w:r w:rsidRPr="00815C15">
        <w:rPr>
          <w:color w:val="auto"/>
        </w:rPr>
        <w:t>Toepassing van artikel 402 Boek 2 BW</w:t>
      </w:r>
      <w:bookmarkEnd w:id="101"/>
      <w:bookmarkEnd w:id="102"/>
      <w:bookmarkEnd w:id="103"/>
      <w:r w:rsidRPr="00815C15">
        <w:rPr>
          <w:color w:val="auto"/>
        </w:rPr>
        <w:t xml:space="preserve"> </w:t>
      </w:r>
    </w:p>
    <w:p w:rsidR="00BF1E1B" w:rsidRPr="00815C15" w:rsidRDefault="00BF1E1B" w:rsidP="00BF1E1B">
      <w:pPr>
        <w:jc w:val="both"/>
      </w:pPr>
      <w:r w:rsidRPr="00815C15">
        <w:t xml:space="preserve">De financiële gegevens van </w:t>
      </w:r>
      <w:bookmarkStart w:id="104" w:name="OLE_LINK5"/>
      <w:bookmarkStart w:id="105" w:name="OLE_LINK6"/>
      <w:r w:rsidRPr="00815C15">
        <w:t xml:space="preserve">de </w:t>
      </w:r>
      <w:bookmarkEnd w:id="104"/>
      <w:bookmarkEnd w:id="105"/>
      <w:r w:rsidRPr="00815C15">
        <w:t>Stichting zijn in de geconsolideerde jaarrekening verwerkt. Daarom vermeldt de enkelvoudige staat van baten en lasten conform artikel 402 Boek 2 BW slechts het aandeel in het resultaat van vennootschappen waarin wordt deelgenomen.</w:t>
      </w:r>
    </w:p>
    <w:p w:rsidR="00BF1E1B" w:rsidRPr="00815C15" w:rsidRDefault="00BF1E1B" w:rsidP="00BF1E1B">
      <w:pPr>
        <w:pStyle w:val="Kop3"/>
        <w:rPr>
          <w:color w:val="auto"/>
        </w:rPr>
      </w:pPr>
      <w:bookmarkStart w:id="106" w:name="_Toc506258713"/>
      <w:bookmarkStart w:id="107" w:name="_Toc506370461"/>
      <w:bookmarkStart w:id="108" w:name="_Toc506371293"/>
      <w:bookmarkStart w:id="109" w:name="_Toc506371372"/>
      <w:bookmarkStart w:id="110" w:name="_Toc506372651"/>
      <w:bookmarkStart w:id="111" w:name="_Toc506793201"/>
      <w:bookmarkStart w:id="112" w:name="_Toc508686101"/>
      <w:bookmarkStart w:id="113" w:name="_Toc509042331"/>
      <w:bookmarkStart w:id="114" w:name="_Toc509042433"/>
      <w:bookmarkStart w:id="115" w:name="_Toc509125326"/>
      <w:bookmarkStart w:id="116" w:name="_Toc510435247"/>
      <w:bookmarkStart w:id="117" w:name="_Toc524244521"/>
      <w:bookmarkStart w:id="118" w:name="_Toc524244627"/>
      <w:bookmarkStart w:id="119" w:name="_Toc48971361"/>
      <w:bookmarkStart w:id="120" w:name="_Toc48988534"/>
      <w:bookmarkStart w:id="121" w:name="_Toc88449817"/>
      <w:bookmarkStart w:id="122" w:name="_Toc124753383"/>
      <w:bookmarkStart w:id="123" w:name="_Toc253491125"/>
      <w:bookmarkStart w:id="124" w:name="_Toc253650391"/>
      <w:bookmarkStart w:id="125" w:name="_Toc255560770"/>
      <w:bookmarkStart w:id="126" w:name="_Toc256521926"/>
      <w:r w:rsidRPr="00815C15">
        <w:rPr>
          <w:color w:val="auto"/>
        </w:rPr>
        <w:t>Continuïteit</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BF1E1B" w:rsidRPr="00815C15" w:rsidRDefault="00BF1E1B" w:rsidP="00BF1E1B">
      <w:pPr>
        <w:jc w:val="both"/>
      </w:pPr>
      <w:r>
        <w:t>De</w:t>
      </w:r>
      <w:r w:rsidRPr="00815C15">
        <w:t xml:space="preserve"> gehanteerde grondslagen van waardering en resultaatbepaling </w:t>
      </w:r>
      <w:r>
        <w:t xml:space="preserve">zijn gebaseerd </w:t>
      </w:r>
      <w:r w:rsidRPr="00815C15">
        <w:t>op de veronderstelling van continuïteit.</w:t>
      </w:r>
    </w:p>
    <w:p w:rsidR="00BF1E1B" w:rsidRPr="00815C15" w:rsidRDefault="00BF1E1B" w:rsidP="00BF1E1B">
      <w:pPr>
        <w:jc w:val="both"/>
      </w:pPr>
    </w:p>
    <w:p w:rsidR="00BF1E1B" w:rsidRPr="00815C15" w:rsidRDefault="00BF1E1B" w:rsidP="00BF1E1B">
      <w:pPr>
        <w:pStyle w:val="Kop2"/>
      </w:pPr>
      <w:bookmarkStart w:id="127" w:name="_Toc181522722"/>
      <w:bookmarkStart w:id="128" w:name="_Toc253426826"/>
      <w:bookmarkStart w:id="129" w:name="_Toc253491126"/>
      <w:bookmarkStart w:id="130" w:name="_Toc255560771"/>
      <w:bookmarkStart w:id="131" w:name="_Toc255562595"/>
      <w:bookmarkStart w:id="132" w:name="_Toc256521562"/>
      <w:bookmarkStart w:id="133" w:name="_Toc256521927"/>
      <w:bookmarkStart w:id="134" w:name="_Toc71195167"/>
      <w:r w:rsidRPr="00815C15">
        <w:t>Grondslagen voor de waardering van activa en passiva en de resultaatbepaling</w:t>
      </w:r>
      <w:bookmarkEnd w:id="127"/>
      <w:bookmarkEnd w:id="128"/>
      <w:bookmarkEnd w:id="129"/>
      <w:bookmarkEnd w:id="130"/>
      <w:bookmarkEnd w:id="131"/>
      <w:bookmarkEnd w:id="132"/>
      <w:bookmarkEnd w:id="133"/>
      <w:bookmarkEnd w:id="134"/>
      <w:r w:rsidRPr="00815C15">
        <w:t xml:space="preserve"> </w:t>
      </w:r>
    </w:p>
    <w:p w:rsidR="00BF1E1B" w:rsidRPr="00815C15" w:rsidRDefault="00BF1E1B" w:rsidP="00BF1E1B">
      <w:r w:rsidRPr="00815C15">
        <w:t>Voor zover niet anders is vermeld, worden activa en passiva opgenomen tegen nominale waarde. Een actief wordt in de balans opgenomen wanneer het waarschijnlijk is dat de toekomstige economische voordelen naar de Stichting zullen toevloeien en de waarde daarvan betrouwbaar kan worden vastgesteld. Een verplichting wordt in de balans opgenomen wanneer het waarschijnlijk is dat de afwikkeling daarvan gepaard zal gaan met een uitstroom van middelen en de omvang van het bedrag daarvan betrouwbaar kan worden vastgesteld.</w:t>
      </w:r>
    </w:p>
    <w:p w:rsidR="00BF1E1B" w:rsidRPr="00815C15" w:rsidRDefault="00BF1E1B" w:rsidP="00BF1E1B">
      <w:pPr>
        <w:jc w:val="both"/>
      </w:pPr>
      <w:r w:rsidRPr="00815C15">
        <w:t xml:space="preserve">Baten worden in de staat van baten en lasten opgenomen wanneer een vermeerdering van het economisch potentieel, samenhangend met een vermeerdering van een actief of een vermindering van een verplichting, heeft plaatsgevonden, waarvan de omvang betrouwbaar kan worden vastgesteld. Lasten worden verwerkt wanneer een vermindering van het economisch potentieel, samenhangend met een vermindering van een actief of een </w:t>
      </w:r>
      <w:r w:rsidRPr="00815C15">
        <w:lastRenderedPageBreak/>
        <w:t>vermeerdering van een verplichting, heeft plaatsgevonden, waarvan de omvang betrouwbaar kan worden vastgesteld.</w:t>
      </w:r>
    </w:p>
    <w:p w:rsidR="00BF1E1B" w:rsidRPr="00815C15" w:rsidRDefault="00BF1E1B" w:rsidP="00BF1E1B">
      <w:pPr>
        <w:jc w:val="both"/>
      </w:pPr>
      <w:r w:rsidRPr="00815C15">
        <w:tab/>
        <w:t xml:space="preserve">Indien een transactie ertoe leidt dat nagenoeg alle of alle toekomstige economische voordelen en alle of nagenoeg alle risico’s met betrekking tot een actief of verplichting aan een derde zijn overgedragen, wordt het actief of de verplichting niet langer in de balans opgenomen. Verder worden activa en verplichtingen niet meer in de balans opgenomen vanaf het tijdstip waarop niet meer wordt voldaan aan de voorwaarden van waarschijnlijkheid van de toekomstige economische voordelen en betrouwbaarheid van de bepaling van de waarde. </w:t>
      </w:r>
    </w:p>
    <w:p w:rsidR="00BF1E1B" w:rsidRPr="00815C15" w:rsidRDefault="00BF1E1B" w:rsidP="00BF1E1B">
      <w:pPr>
        <w:jc w:val="both"/>
      </w:pPr>
      <w:r w:rsidRPr="00815C15">
        <w:tab/>
        <w:t xml:space="preserve">De opbrengsten en kosten worden toegerekend aan de periode waarop zij betrekking hebben. </w:t>
      </w:r>
      <w:bookmarkStart w:id="135" w:name="OLE_LINK3"/>
      <w:bookmarkStart w:id="136" w:name="OLE_LINK4"/>
      <w:r w:rsidRPr="00815C15">
        <w:t xml:space="preserve">Opbrengsten worden verantwoord indien de Stichting alle belangrijke risico’s met betrekking tot de handelsgoederen zijn overgedragen aan de koper. </w:t>
      </w:r>
    </w:p>
    <w:p w:rsidR="00BF1E1B" w:rsidRPr="00815C15" w:rsidRDefault="00BF1E1B" w:rsidP="00BF1E1B">
      <w:pPr>
        <w:jc w:val="both"/>
      </w:pPr>
      <w:r w:rsidRPr="00815C15">
        <w:tab/>
        <w:t>De jaarrekening wordt gepresenteerd in euro’s, de functionele valuta van de Stichting.</w:t>
      </w:r>
    </w:p>
    <w:p w:rsidR="00BF1E1B" w:rsidRPr="00815C15" w:rsidRDefault="00BF1E1B" w:rsidP="00BF1E1B">
      <w:pPr>
        <w:pStyle w:val="Kop3"/>
        <w:rPr>
          <w:color w:val="auto"/>
        </w:rPr>
      </w:pPr>
      <w:bookmarkStart w:id="137" w:name="_Toc506793204"/>
      <w:bookmarkStart w:id="138" w:name="_Toc508686105"/>
      <w:bookmarkStart w:id="139" w:name="_Toc509042335"/>
      <w:bookmarkStart w:id="140" w:name="_Toc509042437"/>
      <w:bookmarkStart w:id="141" w:name="_Toc509125330"/>
      <w:bookmarkStart w:id="142" w:name="_Toc510435251"/>
      <w:bookmarkStart w:id="143" w:name="_Toc524244525"/>
      <w:bookmarkStart w:id="144" w:name="_Toc524244631"/>
      <w:bookmarkStart w:id="145" w:name="_Toc48971365"/>
      <w:bookmarkStart w:id="146" w:name="_Toc48988538"/>
      <w:bookmarkEnd w:id="135"/>
      <w:bookmarkEnd w:id="136"/>
      <w:r w:rsidRPr="00815C15">
        <w:rPr>
          <w:color w:val="auto"/>
        </w:rPr>
        <w:t>gebruik van schattingen</w:t>
      </w:r>
    </w:p>
    <w:p w:rsidR="00BF1E1B" w:rsidRPr="00815C15" w:rsidRDefault="00BF1E1B" w:rsidP="00BF1E1B">
      <w:pPr>
        <w:jc w:val="both"/>
      </w:pPr>
      <w:r w:rsidRPr="00815C15">
        <w:t xml:space="preserve">De opstelling van de jaarrekening vereist dat het management oordelen vormt en schattingen en veronderstellingen maakt die van invloed zijn op de toepassing van de grondslagen en de  gerapporteerde waarde van activa en verplichtingen, en van baten en lasten. De daadwerkelijke uitkomsten kunnen afwijken van deze schattingen. De schattingen en onderliggende veronderstellingen worden voortdurend beoordeeld. Herzieningen van schattingen worden opgenomen in de periode waarin de schatting wordt herzien en in toekomstige perioden waarvoor de herziening gevolgen heeft. </w:t>
      </w:r>
    </w:p>
    <w:p w:rsidR="00BF1E1B" w:rsidRPr="00815C15" w:rsidRDefault="00BF1E1B" w:rsidP="00BF1E1B">
      <w:pPr>
        <w:jc w:val="both"/>
      </w:pPr>
    </w:p>
    <w:p w:rsidR="00BF1E1B" w:rsidRPr="00815C15" w:rsidRDefault="00BF1E1B" w:rsidP="00BF1E1B">
      <w:pPr>
        <w:pStyle w:val="Kop3"/>
        <w:rPr>
          <w:color w:val="auto"/>
        </w:rPr>
      </w:pPr>
      <w:r w:rsidRPr="00815C15">
        <w:rPr>
          <w:color w:val="auto"/>
        </w:rPr>
        <w:t>financiele instrumenten</w:t>
      </w:r>
    </w:p>
    <w:p w:rsidR="00BF1E1B" w:rsidRPr="00815C15" w:rsidRDefault="00BF1E1B" w:rsidP="00BF1E1B">
      <w:pPr>
        <w:jc w:val="both"/>
      </w:pPr>
      <w:r w:rsidRPr="00815C15">
        <w:t xml:space="preserve">De stichting maakt geen gebruik van financiële instrumenten (derivaten) en/of houdt geen handelsportefeuille aan. Financiële instrumenten omvatten debiteuren, overige vorderingen, geldmiddelen, crediteuren en overige te betalen posten. Na de eerste opname worden financiële instrumenten op de hierna beschreven manier gewaardeerd. </w:t>
      </w:r>
    </w:p>
    <w:p w:rsidR="00BF1E1B" w:rsidRPr="00815C15" w:rsidRDefault="00BF1E1B" w:rsidP="00BF1E1B">
      <w:pPr>
        <w:jc w:val="both"/>
      </w:pPr>
      <w:r w:rsidRPr="00815C15">
        <w:tab/>
        <w:t>Debiteuren worden na eerste opname gewaardeerd tegen nominale waarde. Voor oninbare debiteuren wordt een voorziening getroffen, die in mindering wordt gebracht op het openstaande debiteurensaldo. De overige vorderingen worden na eerste opname gewaardeerd tegen geamortiseerde kostprijs op basis van de effectieve rentemethode, verminderd met bijzondere waarde verminderingsverliezen (in de praktijk gelijk aan de nominale waarde).</w:t>
      </w:r>
    </w:p>
    <w:p w:rsidR="00BF1E1B" w:rsidRPr="00815C15" w:rsidRDefault="00BF1E1B" w:rsidP="00BF1E1B">
      <w:pPr>
        <w:jc w:val="both"/>
      </w:pPr>
      <w:r w:rsidRPr="00815C15">
        <w:tab/>
        <w:t>Kortlopende schulden en overige financiële verplichtingen worden na eerste opname gewaardeerd tegen geamortiseerde kostprijs op basis van de effectieve rentemethode (in de praktijk gelijk aan de nominale waarde).</w:t>
      </w:r>
    </w:p>
    <w:p w:rsidR="00BF1E1B" w:rsidRPr="00815C15" w:rsidRDefault="00BF1E1B" w:rsidP="00BF1E1B">
      <w:pPr>
        <w:pStyle w:val="Kop3"/>
        <w:rPr>
          <w:color w:val="auto"/>
        </w:rPr>
      </w:pPr>
      <w:r w:rsidRPr="00815C15">
        <w:rPr>
          <w:color w:val="auto"/>
        </w:rPr>
        <w:t xml:space="preserve">Grondslagen voor consolidatie </w:t>
      </w:r>
    </w:p>
    <w:p w:rsidR="00BF1E1B" w:rsidRPr="00815C15" w:rsidRDefault="00BF1E1B" w:rsidP="00BF1E1B">
      <w:pPr>
        <w:jc w:val="both"/>
      </w:pPr>
      <w:r w:rsidRPr="00815C15">
        <w:t>De geconsolideerde jaarrekening omvat de financiële gegevens van de Stichting en haar dochtermaatschappij, Uitgeverij Nexus bv, waarop overheersende zeggenschap kan worden uitgeoefend dan wel waarover de centrale leiding bestaat. De dochtermaatschappij is een deelneming waarin de Stichting een meerderheidsbelang heeft. Bij de bepaling of beleidsbepalende invloed kan worden uitgeoefend worden financiële instrumenten die potentiële stemrechten bevatten en direct kunnen worden uitgeoefend, betrokken. Participaties die worden aangehouden om te vervreemden, worden niet geconsolideerd.</w:t>
      </w:r>
    </w:p>
    <w:p w:rsidR="00BF1E1B" w:rsidRPr="00815C15" w:rsidRDefault="00BF1E1B" w:rsidP="00BF1E1B">
      <w:pPr>
        <w:jc w:val="both"/>
      </w:pPr>
      <w:r w:rsidRPr="00815C15">
        <w:lastRenderedPageBreak/>
        <w:tab/>
        <w:t xml:space="preserve">Nieuw verworven deelnemingen worden in de consolidatie betrokken vanaf het tijdstip waarop beleidsbepalende invloed kan worden uitgeoefend. Afgestoten deelnemingen worden in de consolidatie betrokken tot het tijdstip van beëindiging van deze invloed. </w:t>
      </w:r>
    </w:p>
    <w:p w:rsidR="00BF1E1B" w:rsidRPr="00815C15" w:rsidRDefault="00BF1E1B" w:rsidP="00BF1E1B">
      <w:pPr>
        <w:jc w:val="both"/>
      </w:pPr>
      <w:r w:rsidRPr="00815C15">
        <w:tab/>
        <w:t>In de geconsolideerde jaarrekening zijn de onderlinge schulden, vorderingen en transacties geëlimineerd, evenals de binnen de Groep gemaakte winsten. De groepsmaatschappijen zijn integraal geconsolideerd, waarbij het minderheidsbelang van derden afzonderlijk tot uitdrukking is gebracht.</w:t>
      </w:r>
    </w:p>
    <w:p w:rsidR="00BF1E1B" w:rsidRPr="00815C15" w:rsidRDefault="00BF1E1B" w:rsidP="00BF1E1B">
      <w:pPr>
        <w:jc w:val="both"/>
      </w:pPr>
      <w:r w:rsidRPr="00815C15">
        <w:t>Voor een overzicht van de geconsolideerde groepsmaatschappijen wordt verwezen naar de paragraaf Financiële vaste activa.</w:t>
      </w:r>
      <w:bookmarkStart w:id="147" w:name="_Toc253491128"/>
      <w:bookmarkStart w:id="148" w:name="_Toc255560773"/>
      <w:bookmarkStart w:id="149" w:name="_Toc256521929"/>
      <w:bookmarkEnd w:id="137"/>
      <w:bookmarkEnd w:id="138"/>
      <w:bookmarkEnd w:id="139"/>
      <w:bookmarkEnd w:id="140"/>
      <w:bookmarkEnd w:id="141"/>
      <w:bookmarkEnd w:id="142"/>
      <w:bookmarkEnd w:id="143"/>
      <w:bookmarkEnd w:id="144"/>
      <w:bookmarkEnd w:id="145"/>
      <w:bookmarkEnd w:id="146"/>
    </w:p>
    <w:p w:rsidR="00BF1E1B" w:rsidRPr="00815C15" w:rsidRDefault="00BF1E1B" w:rsidP="00BF1E1B">
      <w:pPr>
        <w:pStyle w:val="Kop3"/>
        <w:rPr>
          <w:color w:val="auto"/>
        </w:rPr>
      </w:pPr>
      <w:r w:rsidRPr="00815C15">
        <w:rPr>
          <w:color w:val="auto"/>
        </w:rPr>
        <w:t>Materiële vaste activa</w:t>
      </w:r>
      <w:bookmarkEnd w:id="147"/>
      <w:bookmarkEnd w:id="148"/>
      <w:bookmarkEnd w:id="149"/>
    </w:p>
    <w:p w:rsidR="00BF1E1B" w:rsidRPr="00815C15" w:rsidRDefault="00BF1E1B" w:rsidP="00BF1E1B">
      <w:pPr>
        <w:jc w:val="both"/>
      </w:pPr>
      <w:r w:rsidRPr="00815C15">
        <w:t xml:space="preserve">De inventaris en inrichting wordt gewaardeerd tegen aanschafwaarde verminderd met de cumulatieve afschrijvingen. </w:t>
      </w:r>
    </w:p>
    <w:p w:rsidR="00BF1E1B" w:rsidRPr="00815C15" w:rsidRDefault="00BF1E1B" w:rsidP="00BF1E1B">
      <w:pPr>
        <w:jc w:val="both"/>
      </w:pPr>
      <w:r w:rsidRPr="00815C15">
        <w:tab/>
        <w:t xml:space="preserve">De afschrijvingen worden berekend als een percentage over de aanschafprijs volgens de lineaire methode op basis van de economische levensduur. </w:t>
      </w:r>
    </w:p>
    <w:p w:rsidR="00BF1E1B" w:rsidRPr="00815C15" w:rsidRDefault="00BF1E1B" w:rsidP="00BF1E1B">
      <w:pPr>
        <w:jc w:val="both"/>
      </w:pPr>
      <w:r w:rsidRPr="00815C15">
        <w:tab/>
        <w:t>Het volgende afschrijvingspercentage wordt hierbij gehanteerd: Inventaris en inrichting: 20 tot 50.</w:t>
      </w:r>
    </w:p>
    <w:p w:rsidR="00BF1E1B" w:rsidRPr="00815C15" w:rsidRDefault="00BF1E1B" w:rsidP="00BF1E1B">
      <w:pPr>
        <w:jc w:val="both"/>
      </w:pPr>
    </w:p>
    <w:p w:rsidR="00BF1E1B" w:rsidRPr="00815C15" w:rsidRDefault="00BF1E1B" w:rsidP="00BF1E1B">
      <w:pPr>
        <w:pStyle w:val="Kop3"/>
        <w:rPr>
          <w:color w:val="auto"/>
        </w:rPr>
      </w:pPr>
      <w:bookmarkStart w:id="150" w:name="_Toc506793208"/>
      <w:bookmarkStart w:id="151" w:name="_Toc508686109"/>
      <w:bookmarkStart w:id="152" w:name="_Toc509042339"/>
      <w:bookmarkStart w:id="153" w:name="_Toc509042441"/>
      <w:bookmarkStart w:id="154" w:name="_Toc509125334"/>
      <w:bookmarkStart w:id="155" w:name="_Toc510435255"/>
      <w:bookmarkStart w:id="156" w:name="_Toc524244529"/>
      <w:bookmarkStart w:id="157" w:name="_Toc524244635"/>
      <w:bookmarkStart w:id="158" w:name="_Toc48971369"/>
      <w:bookmarkStart w:id="159" w:name="_Toc48988542"/>
      <w:bookmarkStart w:id="160" w:name="_Toc253491129"/>
      <w:bookmarkStart w:id="161" w:name="_Toc255560774"/>
      <w:bookmarkStart w:id="162" w:name="_Toc256521930"/>
      <w:r w:rsidRPr="00815C15">
        <w:rPr>
          <w:color w:val="auto"/>
        </w:rPr>
        <w:t>Financiële vaste activa</w:t>
      </w:r>
      <w:bookmarkEnd w:id="150"/>
      <w:bookmarkEnd w:id="151"/>
      <w:bookmarkEnd w:id="152"/>
      <w:bookmarkEnd w:id="153"/>
      <w:bookmarkEnd w:id="154"/>
      <w:bookmarkEnd w:id="155"/>
      <w:bookmarkEnd w:id="156"/>
      <w:bookmarkEnd w:id="157"/>
      <w:bookmarkEnd w:id="158"/>
      <w:bookmarkEnd w:id="159"/>
      <w:bookmarkEnd w:id="160"/>
      <w:bookmarkEnd w:id="161"/>
      <w:bookmarkEnd w:id="162"/>
      <w:r w:rsidRPr="00815C15">
        <w:rPr>
          <w:color w:val="auto"/>
        </w:rPr>
        <w:t xml:space="preserve"> </w:t>
      </w:r>
    </w:p>
    <w:p w:rsidR="00BF1E1B" w:rsidRPr="00815C15" w:rsidRDefault="00BF1E1B" w:rsidP="00BF1E1B">
      <w:pPr>
        <w:jc w:val="both"/>
      </w:pPr>
      <w:r w:rsidRPr="00815C15">
        <w:t>Deelnemingen waarin invloed van betekenis op het zakelijke en financiële beleid kan worden uitgeoefend, worden gewaardeerd volgens de vermogensmutatiemethode op basis van de nettovermogenswaarde. Bij de bepaling van de nettovermogenswaarde worden de waarderings</w:t>
      </w:r>
      <w:r w:rsidRPr="00815C15">
        <w:softHyphen/>
        <w:t xml:space="preserve">grondslagen van de Stichting gehanteerd. Deelnemingen met een negatieve nettovermogenswaarde worden op nihil gewaardeerd. Wanneer de Stichting garant staat voor de schulden van de betreffende deelneming wordt een voorziening gevormd. Deze voorziening wordt primair ten laste van de vorderingen op deze deelneming gevormd en voor het overige onder de voorzieningen ter grootte van het aandeel in de door de deelneming geleden verliezen, dan wel voor de verwachte betalingen door de Stichting ten behoeve van deze deelneming. Deelnemingen waarin geen invloed van betekenis wordt uitgeoefend, worden gewaardeerd tegen verkrijgingsprijs of duurzaam lagere bedrijfswaarde. De leningen aan niet-geconsolideerde deelnemingen worden opgenomen tegen nominale waarde onder aftrek van noodzakelijk geachte waardeverminderingen. De grondslagen voor overige financiële vaste activa zijn opgenomen onder het hoofd financiële instrumenten. De Stichting bezit 100% van de aandelen van Uitgeverij Nexus bv. Dividenden worden verantwoord in de periode waarin zij betaalbaar worden gesteld. Rentebaten worden verantwoord in de periode waartoe zij behoren, rekening houdend met de effectieve rentevoet van de desbetreffende actiefpost. Eventuele winsten of verliezen worden verantwoord onder financiële baten en lasten. </w:t>
      </w:r>
    </w:p>
    <w:p w:rsidR="00BF1E1B" w:rsidRPr="00815C15" w:rsidRDefault="00BF1E1B" w:rsidP="00BF1E1B">
      <w:pPr>
        <w:pStyle w:val="Kop3"/>
        <w:rPr>
          <w:color w:val="auto"/>
        </w:rPr>
      </w:pPr>
      <w:bookmarkStart w:id="163" w:name="_Toc506793209"/>
      <w:bookmarkStart w:id="164" w:name="_Toc508686110"/>
      <w:bookmarkStart w:id="165" w:name="_Toc509042340"/>
      <w:bookmarkStart w:id="166" w:name="_Toc509042442"/>
      <w:bookmarkStart w:id="167" w:name="_Toc509125335"/>
      <w:bookmarkStart w:id="168" w:name="_Toc510435256"/>
      <w:bookmarkStart w:id="169" w:name="_Toc524244530"/>
      <w:bookmarkStart w:id="170" w:name="_Toc524244636"/>
      <w:bookmarkStart w:id="171" w:name="_Toc48971371"/>
      <w:bookmarkStart w:id="172" w:name="_Toc48988544"/>
      <w:bookmarkStart w:id="173" w:name="_Toc253491130"/>
      <w:bookmarkStart w:id="174" w:name="_Toc253650396"/>
      <w:bookmarkStart w:id="175" w:name="_Toc255560775"/>
      <w:bookmarkStart w:id="176" w:name="_Toc256521931"/>
      <w:r w:rsidRPr="00815C15">
        <w:rPr>
          <w:color w:val="auto"/>
        </w:rPr>
        <w:t>Voorraden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BF1E1B" w:rsidRDefault="00BF1E1B" w:rsidP="00BF1E1B">
      <w:pPr>
        <w:jc w:val="both"/>
      </w:pPr>
      <w:r w:rsidRPr="00815C15">
        <w:t xml:space="preserve">Bij het Nexus Instituut is sprake van een beperkte voorraad tijdschriften en boeken. Deze zijn gewaardeerd tegen historische kostprijs, rekening houdend met een voorziening voor incourantheid. </w:t>
      </w:r>
      <w:bookmarkStart w:id="177" w:name="_Toc506793210"/>
      <w:bookmarkStart w:id="178" w:name="_Toc508686111"/>
      <w:bookmarkStart w:id="179" w:name="_Toc509042341"/>
      <w:bookmarkStart w:id="180" w:name="_Toc509042443"/>
      <w:bookmarkStart w:id="181" w:name="_Toc509125336"/>
      <w:bookmarkStart w:id="182" w:name="_Toc510435257"/>
      <w:bookmarkStart w:id="183" w:name="_Toc524244531"/>
      <w:bookmarkStart w:id="184" w:name="_Toc524244637"/>
      <w:bookmarkStart w:id="185" w:name="_Toc48971372"/>
      <w:bookmarkStart w:id="186" w:name="_Toc48988545"/>
      <w:r w:rsidRPr="00815C15">
        <w:t>Bij tijdschriften die herdrukt worden, zijn de herdrukkosten als kostprijs aangehouden. Bij de waardering van de voorraden wordt rekening gehouden met de eventueel op balansdatum opgetreden waardeverminderingen.</w:t>
      </w:r>
      <w:bookmarkStart w:id="187" w:name="_Toc253491131"/>
      <w:bookmarkStart w:id="188" w:name="_Toc255560776"/>
      <w:bookmarkStart w:id="189" w:name="_Toc256521932"/>
      <w:bookmarkStart w:id="190" w:name="_Toc48971376"/>
      <w:bookmarkStart w:id="191" w:name="_Toc48988549"/>
      <w:bookmarkEnd w:id="177"/>
      <w:bookmarkEnd w:id="178"/>
      <w:bookmarkEnd w:id="179"/>
      <w:bookmarkEnd w:id="180"/>
      <w:bookmarkEnd w:id="181"/>
      <w:bookmarkEnd w:id="182"/>
      <w:bookmarkEnd w:id="183"/>
      <w:bookmarkEnd w:id="184"/>
      <w:bookmarkEnd w:id="185"/>
      <w:bookmarkEnd w:id="186"/>
    </w:p>
    <w:p w:rsidR="00BF1E1B" w:rsidRDefault="00BF1E1B" w:rsidP="00BF1E1B">
      <w:pPr>
        <w:jc w:val="both"/>
      </w:pPr>
    </w:p>
    <w:p w:rsidR="00BF1E1B" w:rsidRPr="00815C15" w:rsidRDefault="00BF1E1B" w:rsidP="00BF1E1B">
      <w:pPr>
        <w:jc w:val="both"/>
      </w:pPr>
    </w:p>
    <w:p w:rsidR="00BF1E1B" w:rsidRPr="00815C15" w:rsidRDefault="00BF1E1B" w:rsidP="00BF1E1B">
      <w:pPr>
        <w:pStyle w:val="Kop3"/>
        <w:rPr>
          <w:color w:val="auto"/>
        </w:rPr>
      </w:pPr>
      <w:r w:rsidRPr="00815C15">
        <w:rPr>
          <w:color w:val="auto"/>
        </w:rPr>
        <w:lastRenderedPageBreak/>
        <w:t>Opbrengstverantwoording</w:t>
      </w:r>
      <w:bookmarkEnd w:id="187"/>
      <w:bookmarkEnd w:id="188"/>
      <w:bookmarkEnd w:id="189"/>
      <w:r w:rsidRPr="00815C15">
        <w:rPr>
          <w:color w:val="auto"/>
        </w:rPr>
        <w:t xml:space="preserve"> </w:t>
      </w:r>
    </w:p>
    <w:p w:rsidR="00BF1E1B" w:rsidRDefault="00BF1E1B" w:rsidP="00BF1E1B">
      <w:pPr>
        <w:jc w:val="both"/>
      </w:pPr>
      <w:r w:rsidRPr="00815C15">
        <w:t>Opbrengsten worden alleen verantwoord als er een redelijke zekerheid bestaat dat toekomstige voordelen naar de Stichting zullen toevloeien en dat deze voordelen betrouwbaar kunnen worden geschat.</w:t>
      </w:r>
    </w:p>
    <w:p w:rsidR="00BF1E1B" w:rsidRPr="00815C15" w:rsidRDefault="00BF1E1B" w:rsidP="00BF1E1B">
      <w:pPr>
        <w:pStyle w:val="Kop4"/>
        <w:rPr>
          <w:color w:val="auto"/>
        </w:rPr>
      </w:pPr>
      <w:r w:rsidRPr="00815C15">
        <w:rPr>
          <w:color w:val="auto"/>
        </w:rPr>
        <w:t>subsidies</w:t>
      </w:r>
    </w:p>
    <w:p w:rsidR="00BF1E1B" w:rsidRPr="00815C15" w:rsidRDefault="00BF1E1B" w:rsidP="00BF1E1B">
      <w:pPr>
        <w:jc w:val="both"/>
      </w:pPr>
      <w:r w:rsidRPr="00815C15">
        <w:t xml:space="preserve">Subsidies worden aanvankelijk in de balans opgenomen als </w:t>
      </w:r>
      <w:proofErr w:type="spellStart"/>
      <w:r w:rsidRPr="00815C15">
        <w:t>vooruitontvangen</w:t>
      </w:r>
      <w:proofErr w:type="spellEnd"/>
      <w:r w:rsidRPr="00815C15">
        <w:t xml:space="preserve"> baten zodra er redelijke zekerheid bestaat dat zij zullen worden ontvangen en dat de Stichting zal voldoen aan de daaraan verbonden voorwaarden. Subsidies ter compensatie van door de Stichting gemaakte kosten worden systematisch als opbrengsten in de staat van baten en lasten opgenomen in dezelfde periode als die waarin de kosten worden gemaakt. Subsidies ter compensatie van de Stichting voor de kosten van een actief worden systematisch in de staat van baten en lasten opgenomen gedurende de gebruiksduur van het actief. </w:t>
      </w:r>
    </w:p>
    <w:p w:rsidR="00BF1E1B" w:rsidRPr="00815C15" w:rsidRDefault="00BF1E1B" w:rsidP="00BF1E1B">
      <w:pPr>
        <w:pStyle w:val="Kop4"/>
        <w:rPr>
          <w:color w:val="auto"/>
        </w:rPr>
      </w:pPr>
      <w:r w:rsidRPr="00815C15">
        <w:rPr>
          <w:color w:val="auto"/>
        </w:rPr>
        <w:t>Personeelsbeloningen/pensioenen</w:t>
      </w:r>
    </w:p>
    <w:p w:rsidR="00BF1E1B" w:rsidRPr="00815C15" w:rsidRDefault="00BF1E1B" w:rsidP="00BF1E1B">
      <w:pPr>
        <w:jc w:val="both"/>
      </w:pPr>
      <w:r w:rsidRPr="00815C15">
        <w:t xml:space="preserve">Uitgangspunt is dat de in de verslagperiode te verwerken pensioenlast gelijk is aan de over die periode aan het pensioenfonds verschuldigde pensioenpremies. Voor zover de verschuldigde premies op balansdatum nog niet zijn voldaan, wordt hiervoor een verplichting opgenomen. Als de op balansdatum reeds betaalde premies de verschuldigde premies overtreffen, wordt een overlopende actiefpost opgenomen voor zover sprake zal zijn van terugbetaling door het fonds of van verrekening met in de toekomst verschuldigde premies. </w:t>
      </w:r>
    </w:p>
    <w:p w:rsidR="00BF1E1B" w:rsidRPr="00815C15" w:rsidRDefault="00BF1E1B" w:rsidP="00BF1E1B">
      <w:pPr>
        <w:jc w:val="both"/>
      </w:pPr>
      <w:r w:rsidRPr="00815C15">
        <w:tab/>
        <w:t>Verder wordt op balansdatum een voorziening opgenomen voor bestaande additionele verplichtingen ten opzichte van het fonds en de werknemers, indien het waarschijnlijk is dat voor de afwikkeling van die verplichtingen een uitstroom van middelen zal plaatsvinden en de omvang van de verplichtingen betrouwbaar kan worden geschat. Het al dan niet bestaan van additionele verplichtingen wordt beoordeeld aan de hand van de uitvoeringsovereenkomst met het fonds, de pensioenovereenkomst met de werknemers en andere (expliciete of impliciete) toezeggingen aan de werknemers. De voorziening wordt gewaardeerd tegen de beste schatting van de contante waarde van de bedragen die noodzakelijk zijn om de verplichtingen op balansdatum af te wikkelen. Voor een op balansdatum bestaand overschot bij het pensioenfonds wordt een vordering opgenomen als de stichting de beschikkingsmacht heeft over dit overschot, het waarschijnlijk is dat het overschot naar de onderneming zal toevloeien en de vordering betrouwbaar kan worden vastgesteld.</w:t>
      </w:r>
    </w:p>
    <w:p w:rsidR="00BF1E1B" w:rsidRPr="00815C15" w:rsidRDefault="00BF1E1B" w:rsidP="00BF1E1B">
      <w:pPr>
        <w:pStyle w:val="Kop3"/>
        <w:rPr>
          <w:color w:val="auto"/>
        </w:rPr>
      </w:pPr>
      <w:bookmarkStart w:id="192" w:name="_Toc506793216"/>
      <w:bookmarkStart w:id="193" w:name="_Toc508686117"/>
      <w:bookmarkStart w:id="194" w:name="_Toc509042347"/>
      <w:bookmarkStart w:id="195" w:name="_Toc509042449"/>
      <w:bookmarkStart w:id="196" w:name="_Toc509125342"/>
      <w:bookmarkStart w:id="197" w:name="_Toc510435263"/>
      <w:bookmarkStart w:id="198" w:name="_Toc524244537"/>
      <w:bookmarkStart w:id="199" w:name="_Toc524244643"/>
      <w:bookmarkStart w:id="200" w:name="_Toc48971378"/>
      <w:bookmarkStart w:id="201" w:name="_Toc48988551"/>
      <w:bookmarkStart w:id="202" w:name="_Toc253491132"/>
      <w:bookmarkStart w:id="203" w:name="_Toc255560777"/>
      <w:bookmarkStart w:id="204" w:name="_Toc256521933"/>
      <w:bookmarkEnd w:id="190"/>
      <w:bookmarkEnd w:id="191"/>
      <w:r w:rsidRPr="00815C15">
        <w:rPr>
          <w:color w:val="auto"/>
        </w:rPr>
        <w:t>Aandeel in het resultaat van ondernemingen waarin wordt deelgenomen</w:t>
      </w:r>
      <w:bookmarkEnd w:id="192"/>
      <w:bookmarkEnd w:id="193"/>
      <w:bookmarkEnd w:id="194"/>
      <w:bookmarkEnd w:id="195"/>
      <w:bookmarkEnd w:id="196"/>
      <w:bookmarkEnd w:id="197"/>
      <w:bookmarkEnd w:id="198"/>
      <w:bookmarkEnd w:id="199"/>
      <w:bookmarkEnd w:id="200"/>
      <w:bookmarkEnd w:id="201"/>
      <w:bookmarkEnd w:id="202"/>
      <w:bookmarkEnd w:id="203"/>
      <w:bookmarkEnd w:id="204"/>
      <w:r w:rsidRPr="00815C15">
        <w:rPr>
          <w:color w:val="auto"/>
        </w:rPr>
        <w:t xml:space="preserve"> </w:t>
      </w:r>
    </w:p>
    <w:p w:rsidR="00BF1E1B" w:rsidRPr="00815C15" w:rsidRDefault="00BF1E1B" w:rsidP="00BF1E1B">
      <w:pPr>
        <w:jc w:val="both"/>
      </w:pPr>
      <w:r w:rsidRPr="00815C15">
        <w:t>Het aandeel in het resultaat van ondernemingen waarin wordt deelgenomen, omvat het aandeel van de Stichting in de resultaten van deze deelnemingen. Resultaten op transacties, waarbij overdracht van activa en passiva tussen de Stichting en de niet-geconsolideerde deelnemingen en tussen niet-geconsolideerde deelnemingen onderling heeft plaatsgevonden, zijn niet verwerkt voor zover deze als niet gerealiseerd kunnen worden beschouwd.</w:t>
      </w:r>
    </w:p>
    <w:p w:rsidR="00BF1E1B" w:rsidRPr="00815C15" w:rsidRDefault="00BF1E1B" w:rsidP="00BF1E1B">
      <w:pPr>
        <w:jc w:val="both"/>
      </w:pPr>
      <w:r w:rsidRPr="00815C15">
        <w:tab/>
        <w:t>De resultaten van deelnemingen die gedurende het boekjaar zijn verworven of afgestoten worden vanaf het verwervingsmoment respectievelijk tot het moment van afstoting verwerkt in het resultaat van de Stichting.</w:t>
      </w:r>
    </w:p>
    <w:p w:rsidR="00BF1E1B" w:rsidRPr="00815C15" w:rsidRDefault="00BF1E1B" w:rsidP="00BF1E1B">
      <w:pPr>
        <w:pStyle w:val="Kop3"/>
        <w:rPr>
          <w:color w:val="auto"/>
        </w:rPr>
      </w:pPr>
      <w:bookmarkStart w:id="205" w:name="_Toc253491133"/>
      <w:bookmarkStart w:id="206" w:name="_Toc255560778"/>
      <w:bookmarkStart w:id="207" w:name="_Toc256521934"/>
      <w:r w:rsidRPr="00815C15">
        <w:rPr>
          <w:color w:val="auto"/>
        </w:rPr>
        <w:t>Bepaling reële waarde</w:t>
      </w:r>
      <w:bookmarkEnd w:id="205"/>
      <w:bookmarkEnd w:id="206"/>
      <w:bookmarkEnd w:id="207"/>
    </w:p>
    <w:p w:rsidR="00BF1E1B" w:rsidRPr="00815C15" w:rsidRDefault="00BF1E1B" w:rsidP="00BF1E1B">
      <w:pPr>
        <w:jc w:val="both"/>
      </w:pPr>
      <w:r w:rsidRPr="00815C15">
        <w:t xml:space="preserve">Een aantal grondslagen en de toelichtingen in de jaarrekening van de groep vereisen de bepaling van de reële waarde van zowel financiële als niet-financiële activa en verplichtingen. Ten behoeve van waardering en </w:t>
      </w:r>
      <w:r w:rsidRPr="00815C15">
        <w:lastRenderedPageBreak/>
        <w:t>informatieverschaffing is de reële waarde op basis van de volgende methoden bepaald. Indien van toepassing wordt nadere informatie over de uitgangspunten voor de bepaling van de reële waarde vermeld bij het onderdeel van deze toelichting dat specifiek op het betreffende actief of de betreffende verplichting van toepassing is.</w:t>
      </w:r>
    </w:p>
    <w:p w:rsidR="00BF1E1B" w:rsidRPr="00815C15" w:rsidRDefault="00BF1E1B" w:rsidP="00BF1E1B">
      <w:pPr>
        <w:pStyle w:val="Kop4"/>
        <w:rPr>
          <w:color w:val="auto"/>
        </w:rPr>
      </w:pPr>
      <w:r w:rsidRPr="00815C15">
        <w:rPr>
          <w:color w:val="auto"/>
        </w:rPr>
        <w:t>Handels- en overige vorderingen</w:t>
      </w:r>
    </w:p>
    <w:bookmarkEnd w:id="52"/>
    <w:bookmarkEnd w:id="53"/>
    <w:bookmarkEnd w:id="54"/>
    <w:bookmarkEnd w:id="55"/>
    <w:bookmarkEnd w:id="56"/>
    <w:bookmarkEnd w:id="57"/>
    <w:bookmarkEnd w:id="58"/>
    <w:bookmarkEnd w:id="59"/>
    <w:bookmarkEnd w:id="60"/>
    <w:bookmarkEnd w:id="61"/>
    <w:bookmarkEnd w:id="62"/>
    <w:p w:rsidR="00BF1E1B" w:rsidRPr="00815C15" w:rsidRDefault="00BF1E1B" w:rsidP="00BF1E1B">
      <w:pPr>
        <w:jc w:val="both"/>
      </w:pPr>
      <w:r w:rsidRPr="00815C15">
        <w:t>De looptijd van de vorderingen is korter dan één jaar.</w:t>
      </w:r>
    </w:p>
    <w:p w:rsidR="00BF1E1B" w:rsidRPr="00815C15" w:rsidRDefault="00BF1E1B" w:rsidP="00BF1E1B">
      <w:pPr>
        <w:jc w:val="both"/>
      </w:pPr>
      <w:r w:rsidRPr="00815C15">
        <w:tab/>
        <w:t>De vorderingen op debiteuren worden nominaal gewaardeerd onder aftrek van een eventueel noodzakelijk geachte voorziening voor oninbaarheid. Voor de bepaling van de hoogte van de voorziening zijn de debiteuren individueel beoordeeld.</w:t>
      </w:r>
    </w:p>
    <w:p w:rsidR="008808DB" w:rsidRDefault="00BF1E1B">
      <w:bookmarkStart w:id="208" w:name="_GoBack"/>
      <w:bookmarkEnd w:id="208"/>
    </w:p>
    <w:sectPr w:rsidR="00880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1B"/>
    <w:rsid w:val="006B59D8"/>
    <w:rsid w:val="00A72D8D"/>
    <w:rsid w:val="00B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82AA"/>
  <w15:chartTrackingRefBased/>
  <w15:docId w15:val="{2B73B1F4-2FC9-4C8D-97DC-D48ED4A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1E1B"/>
    <w:pPr>
      <w:tabs>
        <w:tab w:val="left" w:pos="567"/>
      </w:tabs>
      <w:spacing w:before="200" w:after="200" w:line="276" w:lineRule="auto"/>
      <w:contextualSpacing/>
    </w:pPr>
    <w:rPr>
      <w:rFonts w:ascii="Calibri" w:eastAsia="Times New Roman" w:hAnsi="Calibri" w:cs="Times New Roman"/>
      <w:sz w:val="20"/>
      <w:szCs w:val="20"/>
      <w:lang w:val="nl-NL"/>
    </w:rPr>
  </w:style>
  <w:style w:type="paragraph" w:styleId="Kop1">
    <w:name w:val="heading 1"/>
    <w:basedOn w:val="Standaard"/>
    <w:next w:val="Standaard"/>
    <w:link w:val="Kop1Char"/>
    <w:qFormat/>
    <w:rsid w:val="00BF1E1B"/>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Kop2">
    <w:name w:val="heading 2"/>
    <w:basedOn w:val="Standaard"/>
    <w:next w:val="Standaard"/>
    <w:link w:val="Kop2Char"/>
    <w:qFormat/>
    <w:rsid w:val="00BF1E1B"/>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Kop3">
    <w:name w:val="heading 3"/>
    <w:basedOn w:val="Standaard"/>
    <w:next w:val="Standaard"/>
    <w:link w:val="Kop3Char"/>
    <w:qFormat/>
    <w:rsid w:val="00BF1E1B"/>
    <w:pPr>
      <w:pBdr>
        <w:top w:val="single" w:sz="6" w:space="2" w:color="4F81BD"/>
        <w:left w:val="single" w:sz="6" w:space="2" w:color="4F81BD"/>
      </w:pBdr>
      <w:spacing w:before="300" w:after="0"/>
      <w:outlineLvl w:val="2"/>
    </w:pPr>
    <w:rPr>
      <w:caps/>
      <w:color w:val="243F60"/>
      <w:spacing w:val="15"/>
      <w:sz w:val="22"/>
      <w:szCs w:val="22"/>
    </w:rPr>
  </w:style>
  <w:style w:type="paragraph" w:styleId="Kop4">
    <w:name w:val="heading 4"/>
    <w:basedOn w:val="Standaard"/>
    <w:next w:val="Standaard"/>
    <w:link w:val="Kop4Char"/>
    <w:qFormat/>
    <w:rsid w:val="00BF1E1B"/>
    <w:pPr>
      <w:pBdr>
        <w:top w:val="dotted" w:sz="6" w:space="2" w:color="4F81BD"/>
        <w:left w:val="dotted" w:sz="6" w:space="2" w:color="4F81BD"/>
      </w:pBdr>
      <w:spacing w:before="300" w:after="0"/>
      <w:outlineLvl w:val="3"/>
    </w:pPr>
    <w:rPr>
      <w:caps/>
      <w:color w:val="365F91"/>
      <w:spacing w:val="1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F1E1B"/>
    <w:rPr>
      <w:rFonts w:ascii="Calibri" w:eastAsia="Times New Roman" w:hAnsi="Calibri" w:cs="Times New Roman"/>
      <w:b/>
      <w:bCs/>
      <w:caps/>
      <w:color w:val="FFFFFF"/>
      <w:spacing w:val="15"/>
      <w:shd w:val="clear" w:color="auto" w:fill="4F81BD"/>
      <w:lang w:val="nl-NL"/>
    </w:rPr>
  </w:style>
  <w:style w:type="character" w:customStyle="1" w:styleId="Kop2Char">
    <w:name w:val="Kop 2 Char"/>
    <w:basedOn w:val="Standaardalinea-lettertype"/>
    <w:link w:val="Kop2"/>
    <w:rsid w:val="00BF1E1B"/>
    <w:rPr>
      <w:rFonts w:ascii="Calibri" w:eastAsia="Times New Roman" w:hAnsi="Calibri" w:cs="Times New Roman"/>
      <w:caps/>
      <w:spacing w:val="15"/>
      <w:shd w:val="clear" w:color="auto" w:fill="DBE5F1"/>
      <w:lang w:val="nl-NL"/>
    </w:rPr>
  </w:style>
  <w:style w:type="character" w:customStyle="1" w:styleId="Kop3Char">
    <w:name w:val="Kop 3 Char"/>
    <w:basedOn w:val="Standaardalinea-lettertype"/>
    <w:link w:val="Kop3"/>
    <w:rsid w:val="00BF1E1B"/>
    <w:rPr>
      <w:rFonts w:ascii="Calibri" w:eastAsia="Times New Roman" w:hAnsi="Calibri" w:cs="Times New Roman"/>
      <w:caps/>
      <w:color w:val="243F60"/>
      <w:spacing w:val="15"/>
      <w:lang w:val="nl-NL"/>
    </w:rPr>
  </w:style>
  <w:style w:type="character" w:customStyle="1" w:styleId="Kop4Char">
    <w:name w:val="Kop 4 Char"/>
    <w:basedOn w:val="Standaardalinea-lettertype"/>
    <w:link w:val="Kop4"/>
    <w:rsid w:val="00BF1E1B"/>
    <w:rPr>
      <w:rFonts w:ascii="Calibri" w:eastAsia="Times New Roman" w:hAnsi="Calibri" w:cs="Times New Roman"/>
      <w:caps/>
      <w:color w:val="365F91"/>
      <w:spacing w:val="10"/>
      <w:lang w:val="nl-NL"/>
    </w:rPr>
  </w:style>
  <w:style w:type="paragraph" w:styleId="Plattetekst">
    <w:name w:val="Body Text"/>
    <w:basedOn w:val="Standaard"/>
    <w:link w:val="PlattetekstChar"/>
    <w:semiHidden/>
    <w:rsid w:val="00BF1E1B"/>
    <w:pPr>
      <w:spacing w:before="130" w:after="130"/>
      <w:jc w:val="both"/>
    </w:pPr>
  </w:style>
  <w:style w:type="character" w:customStyle="1" w:styleId="PlattetekstChar">
    <w:name w:val="Platte tekst Char"/>
    <w:basedOn w:val="Standaardalinea-lettertype"/>
    <w:link w:val="Plattetekst"/>
    <w:semiHidden/>
    <w:rsid w:val="00BF1E1B"/>
    <w:rPr>
      <w:rFonts w:ascii="Calibri" w:eastAsia="Times New Roman" w:hAnsi="Calibri" w:cs="Times New Roman"/>
      <w:sz w:val="20"/>
      <w:szCs w:val="20"/>
      <w:lang w:val="nl-NL"/>
    </w:rPr>
  </w:style>
  <w:style w:type="paragraph" w:styleId="Plattetekst3">
    <w:name w:val="Body Text 3"/>
    <w:basedOn w:val="Standaard"/>
    <w:link w:val="Plattetekst3Char"/>
    <w:semiHidden/>
    <w:rsid w:val="00BF1E1B"/>
    <w:pPr>
      <w:spacing w:line="260" w:lineRule="atLeast"/>
      <w:ind w:left="142" w:hanging="142"/>
    </w:pPr>
    <w:rPr>
      <w:sz w:val="18"/>
      <w:szCs w:val="16"/>
    </w:rPr>
  </w:style>
  <w:style w:type="character" w:customStyle="1" w:styleId="Plattetekst3Char">
    <w:name w:val="Platte tekst 3 Char"/>
    <w:basedOn w:val="Standaardalinea-lettertype"/>
    <w:link w:val="Plattetekst3"/>
    <w:semiHidden/>
    <w:rsid w:val="00BF1E1B"/>
    <w:rPr>
      <w:rFonts w:ascii="Calibri" w:eastAsia="Times New Roman" w:hAnsi="Calibri" w:cs="Times New Roman"/>
      <w:sz w:val="18"/>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12022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van der Ham</dc:creator>
  <cp:keywords/>
  <dc:description/>
  <cp:lastModifiedBy>Eveline van der Ham</cp:lastModifiedBy>
  <cp:revision>1</cp:revision>
  <dcterms:created xsi:type="dcterms:W3CDTF">2021-06-04T15:06:00Z</dcterms:created>
  <dcterms:modified xsi:type="dcterms:W3CDTF">2021-06-04T15:08:00Z</dcterms:modified>
</cp:coreProperties>
</file>